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8F" w:rsidRPr="004E439E" w:rsidRDefault="004A4074" w:rsidP="004A4074">
      <w:pPr>
        <w:shd w:val="clear" w:color="auto" w:fill="FFFFFF"/>
        <w:spacing w:after="150" w:line="36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4A4074">
        <w:rPr>
          <w:u w:val="single"/>
        </w:rPr>
        <w:fldChar w:fldCharType="begin"/>
      </w:r>
      <w:r w:rsidRPr="004A4074">
        <w:rPr>
          <w:u w:val="single"/>
        </w:rPr>
        <w:instrText xml:space="preserve"> HYPERLINK "http://suryanto.blog.unair.ac.id/2009/02/11/gender-apa-itu/" \o "GENDER? APA ITU?" </w:instrText>
      </w:r>
      <w:r w:rsidRPr="004A4074">
        <w:rPr>
          <w:u w:val="single"/>
        </w:rPr>
        <w:fldChar w:fldCharType="separate"/>
      </w:r>
      <w:r w:rsidR="00192C8F" w:rsidRPr="004A40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INISIASI</w:t>
      </w:r>
      <w:r w:rsidRPr="004A40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fldChar w:fldCharType="end"/>
      </w:r>
      <w:r w:rsidR="00192C8F" w:rsidRPr="004A40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VIII</w:t>
      </w:r>
      <w:hyperlink r:id="rId5" w:tooltip="GENDER? APA ITU?" w:history="1">
        <w:r w:rsidR="00192C8F" w:rsidRPr="004A4074">
          <w:rPr>
            <w:rFonts w:ascii="Times New Roman" w:eastAsia="Times New Roman" w:hAnsi="Times New Roman" w:cs="Times New Roman"/>
            <w:b/>
            <w:bCs/>
            <w:color w:val="2C3E50"/>
            <w:sz w:val="28"/>
            <w:szCs w:val="28"/>
            <w:u w:val="single"/>
          </w:rPr>
          <w:br/>
        </w:r>
      </w:hyperlink>
      <w:hyperlink r:id="rId6" w:tooltip="GENDER? APA ITU?" w:history="1">
        <w:r w:rsidR="00192C8F" w:rsidRPr="00D075A2">
          <w:rPr>
            <w:rFonts w:ascii="Times New Roman" w:eastAsia="Times New Roman" w:hAnsi="Times New Roman" w:cs="Times New Roman"/>
            <w:b/>
            <w:bCs/>
            <w:color w:val="2C3E50"/>
            <w:sz w:val="28"/>
            <w:szCs w:val="28"/>
            <w:u w:val="single"/>
          </w:rPr>
          <w:t xml:space="preserve">Gender, </w:t>
        </w:r>
        <w:proofErr w:type="spellStart"/>
        <w:r w:rsidR="00192C8F" w:rsidRPr="00D075A2">
          <w:rPr>
            <w:rFonts w:ascii="Times New Roman" w:eastAsia="Times New Roman" w:hAnsi="Times New Roman" w:cs="Times New Roman"/>
            <w:b/>
            <w:bCs/>
            <w:color w:val="2C3E50"/>
            <w:sz w:val="28"/>
            <w:szCs w:val="28"/>
            <w:u w:val="single"/>
          </w:rPr>
          <w:t>apa</w:t>
        </w:r>
        <w:proofErr w:type="spellEnd"/>
        <w:r w:rsidR="00192C8F" w:rsidRPr="00D075A2">
          <w:rPr>
            <w:rFonts w:ascii="Times New Roman" w:eastAsia="Times New Roman" w:hAnsi="Times New Roman" w:cs="Times New Roman"/>
            <w:b/>
            <w:bCs/>
            <w:color w:val="2C3E50"/>
            <w:sz w:val="28"/>
            <w:szCs w:val="28"/>
            <w:u w:val="single"/>
          </w:rPr>
          <w:t xml:space="preserve"> </w:t>
        </w:r>
        <w:proofErr w:type="spellStart"/>
        <w:r w:rsidR="00192C8F" w:rsidRPr="00D075A2">
          <w:rPr>
            <w:rFonts w:ascii="Times New Roman" w:eastAsia="Times New Roman" w:hAnsi="Times New Roman" w:cs="Times New Roman"/>
            <w:b/>
            <w:bCs/>
            <w:color w:val="2C3E50"/>
            <w:sz w:val="28"/>
            <w:szCs w:val="28"/>
            <w:u w:val="single"/>
          </w:rPr>
          <w:t>itu</w:t>
        </w:r>
        <w:proofErr w:type="spellEnd"/>
        <w:r w:rsidR="00192C8F" w:rsidRPr="00D075A2">
          <w:rPr>
            <w:rFonts w:ascii="Times New Roman" w:eastAsia="Times New Roman" w:hAnsi="Times New Roman" w:cs="Times New Roman"/>
            <w:b/>
            <w:bCs/>
            <w:color w:val="2C3E50"/>
            <w:sz w:val="28"/>
            <w:szCs w:val="28"/>
            <w:u w:val="single"/>
          </w:rPr>
          <w:t>?</w:t>
        </w:r>
        <w:r w:rsidR="00192C8F" w:rsidRPr="004E439E">
          <w:rPr>
            <w:rFonts w:ascii="Times New Roman" w:eastAsia="Times New Roman" w:hAnsi="Times New Roman" w:cs="Times New Roman"/>
            <w:b/>
            <w:bCs/>
            <w:color w:val="2C3E50"/>
            <w:sz w:val="28"/>
            <w:szCs w:val="28"/>
          </w:rPr>
          <w:br/>
        </w:r>
      </w:hyperlink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Beberapa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tahun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terakhir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kata/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 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gender 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memasuki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perbendaharaan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setiap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diskusi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tulisan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sekitar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perubahan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Dunia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Demikian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juga di Indonesia,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hampir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uraian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program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pengembangan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kalangan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organisasi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non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pemerintah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diperbincangkan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gender. 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Apakah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sesungguhnya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dimaksud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?</w:t>
      </w:r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Dari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pengamatan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ketidakjelasan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kesalahpahaman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dimaksud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kaitannya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usaha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emansipasi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Setidak-tidaknya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beberapa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penyebab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ketidakjelasan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Kata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Indonesia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dipinjam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Inggris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Kalau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dilihat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kamus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dibedakan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pengertian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kata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gender.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Sementara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belum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uraian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mampu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menjelaskan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singkat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mengenai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penting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guna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memahami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ketidakadilan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kata lain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timbulnya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ketidakjelasan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disebabkan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kurangnya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penjelasan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kaitan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ketidakadilan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lain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ditimbulkannya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4A4074" w:rsidRPr="004E439E" w:rsidRDefault="004A4074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memahami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harus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dibedakan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kata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kata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(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).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Pengertian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pensifatan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manusia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ditentukan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melekat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tertentu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Misalnya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manusia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manusia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daftar </w:t>
      </w:r>
      <w:proofErr w:type="spellStart"/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berikut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:</w:t>
      </w:r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penis,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jakala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sperma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Sedangkan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rahim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leher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rahim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vagina,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menyusui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telur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 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Alat-alat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melekat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manusia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selamanya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Artinya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alat-alat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dipertukarkan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permanen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ketentuan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dikatakan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ketentuan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kodrat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Sedangkan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lainnya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yakni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sifat-sifat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melekat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kultural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Misalnya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dikenal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lembut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cantik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emosional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keibuan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Sementara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dianggap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rasional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jantan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lastRenderedPageBreak/>
        <w:t>Ciri-ciri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sendiri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sifat-sifat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diperdekatkan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Artinya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emosional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lembut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keibuan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sementara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juga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rasional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Perubahan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ciri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sifat-sifat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waktu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waktu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tempat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tempat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lain.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Misalnya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jaman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dahulu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suku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tertentu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tempat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lain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juga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jaman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lain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Juga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perubahan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lain. 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192C8F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suku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tertentu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bawah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pedesaan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dibandingkan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dipertukarkan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waktu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waktu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tempat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kelas-kelas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dikenal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gender.</w:t>
      </w:r>
    </w:p>
    <w:p w:rsidR="004A4074" w:rsidRPr="004E439E" w:rsidRDefault="004A4074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Sejarah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(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gender differences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)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manusia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melalui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proses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sangat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panjang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terbentuknya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perbedaan-perbedaan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dikarenakan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banyak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diantaranya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dibentuk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disosialisasikan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kultural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melalui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ajaran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keagamaan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negara.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Melalui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proses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panjang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akhirnya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dianggap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ketentuan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seolah-olah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sehingga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perbedaan-perbedaan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dianggap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dipahami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kodrat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4A4074" w:rsidRDefault="004A4074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</w:p>
    <w:p w:rsidR="00192C8F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Sebaliknya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melalui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dialetika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tersosialisasikan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evolusionar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perlahan-lahan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mempengaruhi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masing-masing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Misalnya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harus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agresif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kemudian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terlatih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tersosialisasi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termotivasi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menuju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ditentukan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yakni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fisik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besar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 </w:t>
      </w:r>
    </w:p>
    <w:p w:rsidR="004A4074" w:rsidRPr="004E439E" w:rsidRDefault="004A4074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Sebaliknya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harus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lembut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sejak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bayi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proses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berpengaruh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perkembangan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emosi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visi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ideologi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juga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mempengaruhi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perkembangan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fisik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selanjutnya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Karena proses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berlangsung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mapan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lama,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akhirnya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sulit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dibedakan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apakah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sifat-sifat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kodrat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ditentukan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Namun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menggunakan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pedoman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setiap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biasanya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melekat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tertentu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sepanjang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sifat-sifat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dipertukarkan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sifat-sifat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hasil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bukanlah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kodrat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4A4074" w:rsidRDefault="004A4074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menjernihkan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kerancuan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pemutarbalikkan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makna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lastRenderedPageBreak/>
        <w:t xml:space="preserve">gender.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Misalnya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diungkapkan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mendidik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mengelola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merawat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kebersihan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urusan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domestik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dianggap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“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kodrat</w:t>
      </w:r>
      <w:proofErr w:type="spellEnd"/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wanita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Padahal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kenyataannya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mendidik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merawat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mengelola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sebenarnya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konstruksi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kultural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tertentu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,</w:t>
      </w:r>
      <w:hyperlink r:id="rId7" w:anchor="4151239" w:tooltip="Click to Continue &gt; by Ads" w:history="1">
        <w:r w:rsidRPr="004E439E">
          <w:rPr>
            <w:rFonts w:ascii="Georgia" w:eastAsia="Times New Roman" w:hAnsi="Georgia" w:cs="Open Sans"/>
            <w:color w:val="2C3E50"/>
            <w:sz w:val="24"/>
            <w:szCs w:val="24"/>
            <w:u w:val="single"/>
          </w:rPr>
          <w:t> </w:t>
        </w:r>
        <w:proofErr w:type="spellStart"/>
        <w:r w:rsidRPr="004E439E">
          <w:rPr>
            <w:rFonts w:ascii="Georgia" w:eastAsia="Times New Roman" w:hAnsi="Georgia" w:cs="Open Sans"/>
            <w:color w:val="2C3E50"/>
            <w:sz w:val="24"/>
            <w:szCs w:val="24"/>
            <w:u w:val="single"/>
          </w:rPr>
          <w:t>boleh</w:t>
        </w:r>
        <w:proofErr w:type="spellEnd"/>
        <w:r w:rsidRPr="004E439E">
          <w:rPr>
            <w:rFonts w:ascii="Georgia" w:eastAsia="Times New Roman" w:hAnsi="Georgia" w:cs="Open Sans"/>
            <w:noProof/>
            <w:color w:val="2C3E50"/>
            <w:sz w:val="24"/>
            <w:szCs w:val="24"/>
          </w:rPr>
          <mc:AlternateContent>
            <mc:Choice Requires="wps">
              <w:drawing>
                <wp:inline distT="0" distB="0" distL="0" distR="0" wp14:anchorId="790D4DD9" wp14:editId="0E706683">
                  <wp:extent cx="304800" cy="304800"/>
                  <wp:effectExtent l="0" t="0" r="0" b="0"/>
                  <wp:docPr id="1" name="Rectangle 1" descr="http://cdncache-a.akamaihd.net/items/it/img/arrow-10x10.png">
                    <a:hlinkClick xmlns:a="http://schemas.openxmlformats.org/drawingml/2006/main" r:id="rId8" tooltip="&quot;Click to Continue &gt; by A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CCBEF77" id="Rectangle 1" o:spid="_x0000_s1026" alt="http://cdncache-a.akamaihd.net/items/it/img/arrow-10x10.png" href="https://elearning.ut.ac.id/mod/page/view.php?id=303590#4151239" title="&quot;Click to Continue &gt; by Ad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urusan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mendidik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merawat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kebersihan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pekerjaan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dipertukarkan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universal,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“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kodrat</w:t>
      </w:r>
      <w:proofErr w:type="spellEnd"/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wanita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disebutkan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gender.</w:t>
      </w: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mendasar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pemberian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apakah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menjadikan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maskulin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feminin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gabungan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blok-blok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dasar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interpretasi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kultur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Interpretasi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dikenal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sebutan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 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gender. 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seperangkat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kostum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topeng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teater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menyampaikan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orang lain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feminin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maskulin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Perangkat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perilaku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khusus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penampilan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pakaian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sikap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kepribadian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luar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seksualitas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jawab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keluarga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bersama-sama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memoles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gender”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 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memahami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bagaimana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mempengaruhi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dilihat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keyakinan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kebutuhan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individu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mandiri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”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dimodifikasi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kebutuhan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orang lain (pada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dasarnya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orang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makhluk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). Salah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paling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menarik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mengenai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peran-peran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seiring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waktu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kultur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kultur yang lain.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juga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sangat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dipengaruhi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usia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latar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belakang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etnis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perkembangan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disebabkan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macam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faktor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mulai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lingkungan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hingga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cerita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mitos-mitos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digunakan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memecah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teka-teki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Sejumlah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studi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mengenai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studi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tampak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sedikit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kegiatan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sedikit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selalu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dikerjakan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beberapa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membajak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memasak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 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lainnya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membuat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baju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membangun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Lain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Salah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sekitar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penggunaan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materi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lintas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kultural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hingga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besar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antropolog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pendidikan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Barat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cenderung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melihat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pandang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pola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kekuasaan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lazim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dunia Barat.</w:t>
      </w: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color w:val="333333"/>
          <w:sz w:val="24"/>
          <w:szCs w:val="24"/>
        </w:rPr>
      </w:pP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seluruh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dunia,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tugas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berbeda-beda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meskipun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tugas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berubah-ubah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berdasarkan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dipahami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para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perencana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konsekuensi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penting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Dikawasan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petani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Selatan,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bermanfaat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kelangsungan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hidup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keluarga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adaptasi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lastRenderedPageBreak/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lingkungan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tertentu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dilihat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bernilainya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sehingga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tampak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perekonomian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diperkenalkan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keseimbangan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tenaga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mulai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dipengaruhi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ideologi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Eropa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stereotipe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yakni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diluar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(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housewife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)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sedangkan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pencari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nafkah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(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breadwinner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). 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Akan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luas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banyak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perencanaan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mempertimbangkan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perspektif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bersangkut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sesuatu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projek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kecuali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kalau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projek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khusus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rancang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memberi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keuntungan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mereka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 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War on Want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 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menegaskan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: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bukti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peremepuan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dipertimbangkan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…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projek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…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direncanakan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dinilai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dilaksanakan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dievaluasi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”.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Studi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mengenai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16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projek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menitikberatkan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perhatian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ekonomi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dikawasan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pedesaan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Banglades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India, Uganda, dan Zimbabwe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menemukan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bertolak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belakang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harapan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sedikit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bukti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tersedia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mengatakan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keseluruhan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projek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benar-benar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memperbaiki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status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ekonomi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”.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ekonomi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produktif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manajemen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komunitas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serangkai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”. Arti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penting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seringkali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dikaburkan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pandangan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reproduktif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menempatkannya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”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biologis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memandangnya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aspek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ditentukan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Akan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ibu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mulai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diperhitungkan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ketika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proses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industrialisasi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memungkinkan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meniru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kelompok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kaya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aristokrat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ibu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mewakili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status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kekayaan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mitos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pencari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nafkah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ibu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pengaturan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normal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paling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manusia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melekat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walaupun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banyak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bukti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memperlihatkan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kebalikannya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melihat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luar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kawasan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industri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(negara-negara Barat),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ideologi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individualitas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kebebasan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individu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begitu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dominan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kenyataan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bersandar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kehendak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individu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semata-mata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struktur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jelas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menulis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dokumen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 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Women living under Muslim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laws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menyatakan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…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banyak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…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pilihan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menentukan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arah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kehidupan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dewasanya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sendiri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–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pertama-tama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mereka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ayah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ibunya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kemudian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mertuanya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 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br/>
      </w:r>
    </w:p>
    <w:p w:rsidR="004A4074" w:rsidRDefault="00192C8F" w:rsidP="004A4074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Open Sans"/>
          <w:b/>
          <w:bCs/>
          <w:color w:val="333333"/>
          <w:sz w:val="24"/>
          <w:szCs w:val="24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sulit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menolak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besar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dunia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patriarkal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melalui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stuktur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kekuasaan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posisi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subordinat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junjung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tinggi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dikekalkan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para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tradisional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Patriarki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memegang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kekuasaan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penting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dasarnya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tercabut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akses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kekuasaan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Patriarki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merembes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aspek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sistem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Salah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contoh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menjunjung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tinggi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 </w:t>
      </w: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keluarga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lastRenderedPageBreak/>
        <w:br/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Kendati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variasi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struktur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keluarga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semakin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banyaknya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jumlah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dikepalai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kebanyakan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berharap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terikat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perkawinan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tunduk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Salah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konsekuensi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posisi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subordinat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perkembangan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keutamaan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keutamaan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amat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maju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India, Pakistan,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Banglades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;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sangat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berpengaruh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rasio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populasi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Beberapa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mendukung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gender: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Akses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kekayaan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mengejutkan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diseluruh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dunia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akses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setara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akses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sangat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sedikit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kontrol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tanahnya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berhasil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diperoleh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usahanya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sendiri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Di </w:t>
      </w:r>
      <w:proofErr w:type="spellStart"/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Peru,Bolivia</w:t>
      </w:r>
      <w:proofErr w:type="spellEnd"/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Paraguay,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menurut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hukum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Islam,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waris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diterima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dibatasi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setengah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diterima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Seksualitas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. 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seksualitas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juga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dirinya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terlalu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dikendalikan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Hal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menyebabkan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kekerasan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istri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kesewenang-wenangan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Kekerasan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. 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Perkosaan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pemukulan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serta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pembuatan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pornografi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menimbulkan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rasa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mengintimidasi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;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ketakutan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kekerasan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menghalangi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banyak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mengambil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inisiatif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mengatur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hidup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dipilihnya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Ketakutan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kekerasan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salah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faktor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kunci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menghambat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ikut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terlibat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pembanguanan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Tabu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 xml:space="preserve"> ritual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Tradisi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KulturalSecara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tradisional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gagasan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perilaku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sangat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mempengaruhi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kehidupan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makin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menguatkan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pola-pola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antropolog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berpendapat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basis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sistem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ganda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;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struktur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keseluruhan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keyakinan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perilaku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bergantung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gagasan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mendasar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jenis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kelamin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Kabylia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Aljazair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antropolog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Prancis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Pierre Bourdieu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menunjukkan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bagaimana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jarak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fisik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terpilah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sesuai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persepsi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–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dibagi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dinding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rendah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tinggi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kegiatan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kultural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”,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rendah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kegiatan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kultural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keperempuanan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”.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Agama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Agama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fondasi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Walaupun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bukti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sepanjang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sejarah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Kristen,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permepuan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memainkan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kepemimpinan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komunitasnya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tradisi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Kristen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gagasan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Hindu,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 </w:t>
      </w:r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Manu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diktum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pemberi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hukum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–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sejak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hingga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liang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seorang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tergantung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: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kanak-kanak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tergantung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ayahnya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muda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tergantung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suaminya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kepada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laki-lakinya</w:t>
      </w:r>
      <w:proofErr w:type="spellEnd"/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”.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menekuni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persoalan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–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persoalan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gender,ada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beberapapermasalahan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tafsiran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keagamaan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lastRenderedPageBreak/>
        <w:t>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Islam,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dianggap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strategis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agar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segera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perhatian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kajian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Pertama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menyangkut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persoalan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subordinasi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akibat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penafsiran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meletakkan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kedudukan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martabat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subordinatif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Padahal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dasarnya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semangat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hubungan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Islam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bersifat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adil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(equal).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karena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subordinasi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keyakinan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berkembang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masyarakat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sesuai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bertentangan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Tuhan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al-Qur’an,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al-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Hujurat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14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berbunyi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: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Sesungguhnya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telah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Aku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ciptakan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kalian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Aku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jadikan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kalian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berbangsa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bersuku-suku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agar kalian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lebih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saling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mengenal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;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sesungguhnya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mulia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diantara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kalian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adalah</w:t>
      </w:r>
      <w:proofErr w:type="spellEnd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 xml:space="preserve"> yang paling </w:t>
      </w:r>
      <w:proofErr w:type="spellStart"/>
      <w:r w:rsidRPr="004E439E">
        <w:rPr>
          <w:rFonts w:ascii="Georgia" w:eastAsia="Times New Roman" w:hAnsi="Georgia" w:cs="Open Sans"/>
          <w:i/>
          <w:iCs/>
          <w:color w:val="333333"/>
          <w:sz w:val="24"/>
          <w:szCs w:val="24"/>
        </w:rPr>
        <w:t>taqwa.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banyak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al-Qur’an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mendukung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pandangan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subordinasi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at-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71; an-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Nisa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123 ;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Ali Imran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195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surat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an-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Nahl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97 .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Kedua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pemahaman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mengenai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bias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selain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meneguhkan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subordinasi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juaga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membawa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akibat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persoalan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waris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kesaksian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nilai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dianggap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separuh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membahas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analisis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konteks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terhadap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struktur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sosiokultural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diturunkan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sehingga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pemahaman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waris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kesaksian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bertentangan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prinsip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keadilan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disampaikan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ayat-ayat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tersebut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Umumnya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mereka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menekuni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masalah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keadilan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melihat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angka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pembagiannya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melainkan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semangat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keadilannya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Sehingga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demi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mencapai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keadilan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angka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sesuai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sistem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struktur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sosial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dewasa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pun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dilakukan.Ketiga</w:t>
      </w:r>
      <w:proofErr w:type="spellEnd"/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segenap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ayat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berkenaan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tradisi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penafsiran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Islam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menggunakan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perspektif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maupun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bereproduksi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yakni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mengontrol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organ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mereka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usaha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untuk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menafsirkan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kembali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agar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terjadi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keadilan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hak-hak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reproduksi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mendapat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perhatian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 xml:space="preserve">Kultur </w:t>
      </w: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bekerja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Diskriminasi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kultur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berkisar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pada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bos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sekretaris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Diskriminasi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diluar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rumah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tangga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menyentuh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hampir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semua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produktif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ekonomis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dilakukan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Selatan.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sektor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manufaktur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mempekerjakan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secara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besar-besaran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merupakan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salah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aspek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pembagian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kerja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internasional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sedang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misalnya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sektor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informal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pariwisata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pelacuran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Sistem</w:t>
      </w:r>
      <w:proofErr w:type="spellEnd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hukum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Sistem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hukum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diseluruh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dunia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mendukung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memperkuat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hidup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negara Islam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memiliki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dinikmati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sekalipun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hukum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pidana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menawarkan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perlakuan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192C8F" w:rsidRPr="004E439E" w:rsidRDefault="00192C8F" w:rsidP="004A4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4E439E">
        <w:rPr>
          <w:rFonts w:ascii="Georgia" w:eastAsia="Times New Roman" w:hAnsi="Georgia" w:cs="Open Sans"/>
          <w:b/>
          <w:bCs/>
          <w:color w:val="333333"/>
          <w:sz w:val="24"/>
          <w:szCs w:val="24"/>
        </w:rPr>
        <w:t>Pendidikan</w:t>
      </w:r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Jumlah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pendidikan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diterima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gadis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satu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negara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lainnya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Di Afrika sub-Sahara,93%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terdaftar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tingkat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sekolah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dasar,tetapi</w:t>
      </w:r>
      <w:proofErr w:type="spellEnd"/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gadis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77%.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Berbeda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Amerila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Latin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Karibia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anak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gadis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hampir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semuanya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terdaftar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sekolah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proofErr w:type="gram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dasar.Pada</w:t>
      </w:r>
      <w:proofErr w:type="spellEnd"/>
      <w:proofErr w:type="gram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tahun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1950-1960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seorang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tokoh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bernama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Esther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Boserup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lastRenderedPageBreak/>
        <w:t>mengatakan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bahwa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dibatasi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oleh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reproduktifnya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seorang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istri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ibu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malahan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melihat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produktivitas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mereka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menekankan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vital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dalam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ekonomi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pertanian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modernisasi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” (model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tentang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bagaimana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mengubah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perekonomian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“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terbelakang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”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melalui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perangkat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industrialisasi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urbanisasi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transfer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teknologi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bantuan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keuangan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penyatuan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ekonomi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),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lambat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pasti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mulai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diakui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diterima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sebagai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kemampuan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sebanding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laki-laki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bahkan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melebihinya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Di zaman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sekarang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meskipun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masih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kita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jumpai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adanya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beberapa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perbedaan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gender,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akan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tetapi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seorang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tidak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hanya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dipandang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dengan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sebelah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mata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lagi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seperti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zaman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dahulu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. Banyak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sudah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contoh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yang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berkembang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dewasa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ini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mengenai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prestasi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perempuan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di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segala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bidang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termasuk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bidang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 xml:space="preserve"> </w:t>
      </w:r>
      <w:proofErr w:type="spellStart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pembangunan</w:t>
      </w:r>
      <w:proofErr w:type="spellEnd"/>
      <w:r w:rsidRPr="004E439E">
        <w:rPr>
          <w:rFonts w:ascii="Georgia" w:eastAsia="Times New Roman" w:hAnsi="Georgia" w:cs="Open Sans"/>
          <w:color w:val="333333"/>
          <w:sz w:val="24"/>
          <w:szCs w:val="24"/>
        </w:rPr>
        <w:t>.</w:t>
      </w:r>
    </w:p>
    <w:p w:rsidR="00E315E1" w:rsidRDefault="00E315E1" w:rsidP="004A4074">
      <w:pPr>
        <w:jc w:val="both"/>
      </w:pPr>
      <w:bookmarkStart w:id="0" w:name="_GoBack"/>
      <w:bookmarkEnd w:id="0"/>
    </w:p>
    <w:sectPr w:rsidR="00E3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6B2"/>
    <w:multiLevelType w:val="multilevel"/>
    <w:tmpl w:val="D176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96EF3"/>
    <w:multiLevelType w:val="multilevel"/>
    <w:tmpl w:val="557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E65B3"/>
    <w:multiLevelType w:val="multilevel"/>
    <w:tmpl w:val="89FC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F630F"/>
    <w:multiLevelType w:val="multilevel"/>
    <w:tmpl w:val="F820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27BD0"/>
    <w:multiLevelType w:val="multilevel"/>
    <w:tmpl w:val="6C38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B38DC"/>
    <w:multiLevelType w:val="multilevel"/>
    <w:tmpl w:val="1D04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E7846"/>
    <w:multiLevelType w:val="multilevel"/>
    <w:tmpl w:val="DB70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333A5"/>
    <w:multiLevelType w:val="multilevel"/>
    <w:tmpl w:val="F82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8F"/>
    <w:rsid w:val="00192C8F"/>
    <w:rsid w:val="004A4074"/>
    <w:rsid w:val="0068608E"/>
    <w:rsid w:val="00E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C1A5"/>
  <w15:chartTrackingRefBased/>
  <w15:docId w15:val="{88C7B349-E46A-4BB3-B1E8-4A7C9D6D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t.ac.id/mod/page/view.php?id=303590#4151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ut.ac.id/mod/page/view.php?id=303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yanto.blog.unair.ac.id/2009/02/11/gender-apa-itu/" TargetMode="External"/><Relationship Id="rId5" Type="http://schemas.openxmlformats.org/officeDocument/2006/relationships/hyperlink" Target="http://suryanto.blog.unair.ac.id/2009/02/11/gender-apa-it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UT-Terbuka</dc:creator>
  <cp:keywords/>
  <dc:description/>
  <cp:lastModifiedBy>Dell</cp:lastModifiedBy>
  <cp:revision>2</cp:revision>
  <dcterms:created xsi:type="dcterms:W3CDTF">2018-09-21T06:17:00Z</dcterms:created>
  <dcterms:modified xsi:type="dcterms:W3CDTF">2019-09-10T09:37:00Z</dcterms:modified>
</cp:coreProperties>
</file>