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06F4" w14:textId="43391212" w:rsidR="00B54858" w:rsidRDefault="00B54858" w:rsidP="00B54858">
      <w:pPr>
        <w:jc w:val="center"/>
        <w:rPr>
          <w:rFonts w:ascii="Times New Roman" w:hAnsi="Times New Roman" w:cs="Times New Roman"/>
          <w:sz w:val="40"/>
          <w:szCs w:val="40"/>
        </w:rPr>
      </w:pPr>
      <w:r>
        <w:rPr>
          <w:rFonts w:ascii="Times New Roman" w:hAnsi="Times New Roman" w:cs="Times New Roman"/>
          <w:sz w:val="40"/>
          <w:szCs w:val="40"/>
        </w:rPr>
        <w:t xml:space="preserve">Modul </w:t>
      </w:r>
      <w:r w:rsidR="007E767D">
        <w:rPr>
          <w:rFonts w:ascii="Times New Roman" w:hAnsi="Times New Roman" w:cs="Times New Roman"/>
          <w:sz w:val="40"/>
          <w:szCs w:val="40"/>
        </w:rPr>
        <w:t>3</w:t>
      </w:r>
    </w:p>
    <w:p w14:paraId="425DBA81" w14:textId="79104D8A" w:rsidR="007E767D" w:rsidRPr="009701C0" w:rsidRDefault="00A374CA" w:rsidP="009701C0">
      <w:pPr>
        <w:jc w:val="both"/>
        <w:rPr>
          <w:rFonts w:ascii="Times New Roman" w:hAnsi="Times New Roman" w:cs="Times New Roman"/>
          <w:sz w:val="36"/>
          <w:szCs w:val="36"/>
        </w:rPr>
      </w:pPr>
      <w:r w:rsidRPr="007E767D">
        <w:rPr>
          <w:rFonts w:ascii="Times New Roman" w:hAnsi="Times New Roman" w:cs="Times New Roman"/>
          <w:sz w:val="36"/>
          <w:szCs w:val="36"/>
        </w:rPr>
        <w:t>Teori</w:t>
      </w:r>
      <w:r w:rsidR="007E767D" w:rsidRPr="007E767D">
        <w:rPr>
          <w:rFonts w:ascii="Times New Roman" w:hAnsi="Times New Roman" w:cs="Times New Roman"/>
          <w:sz w:val="36"/>
          <w:szCs w:val="36"/>
        </w:rPr>
        <w:t xml:space="preserve">tisi Klasik dan Kontemporer tentang Sosiologi Konsumsi </w:t>
      </w:r>
    </w:p>
    <w:p w14:paraId="2AEC73F5" w14:textId="52BF16CB" w:rsidR="00637065" w:rsidRDefault="00E07E6C" w:rsidP="009701C0">
      <w:pPr>
        <w:jc w:val="both"/>
        <w:rPr>
          <w:rFonts w:ascii="Times New Roman" w:hAnsi="Times New Roman" w:cs="Times New Roman"/>
          <w:sz w:val="28"/>
          <w:szCs w:val="28"/>
        </w:rPr>
      </w:pPr>
      <w:r>
        <w:rPr>
          <w:rFonts w:ascii="Times New Roman" w:hAnsi="Times New Roman" w:cs="Times New Roman"/>
          <w:sz w:val="28"/>
          <w:szCs w:val="28"/>
        </w:rPr>
        <w:t xml:space="preserve"> </w:t>
      </w:r>
      <w:r w:rsidR="007E767D">
        <w:rPr>
          <w:rFonts w:ascii="Times New Roman" w:hAnsi="Times New Roman" w:cs="Times New Roman"/>
          <w:sz w:val="28"/>
          <w:szCs w:val="28"/>
        </w:rPr>
        <w:tab/>
        <w:t>Teori sosiologi klasik tentang sosiologi konsumsi merupakan studi para tokohpeletak dasar dari sosiologikonsumsi. Mereka terdiri dari Karl Marx, Emile Durkheim, Max Weber, dan Thorstein Veblen.</w:t>
      </w:r>
    </w:p>
    <w:p w14:paraId="07DA5BB7" w14:textId="49B08E7C" w:rsidR="007E767D" w:rsidRDefault="007E767D" w:rsidP="009701C0">
      <w:pPr>
        <w:jc w:val="both"/>
        <w:rPr>
          <w:rFonts w:ascii="Times New Roman" w:hAnsi="Times New Roman" w:cs="Times New Roman"/>
          <w:sz w:val="28"/>
          <w:szCs w:val="28"/>
        </w:rPr>
      </w:pPr>
      <w:r>
        <w:rPr>
          <w:rFonts w:ascii="Times New Roman" w:hAnsi="Times New Roman" w:cs="Times New Roman"/>
          <w:sz w:val="28"/>
          <w:szCs w:val="28"/>
        </w:rPr>
        <w:tab/>
        <w:t xml:space="preserve">Karl Marx melihat di bawah kapitalisme, melalui </w:t>
      </w:r>
      <w:r w:rsidR="00776E48">
        <w:rPr>
          <w:rFonts w:ascii="Times New Roman" w:hAnsi="Times New Roman" w:cs="Times New Roman"/>
          <w:sz w:val="28"/>
          <w:szCs w:val="28"/>
        </w:rPr>
        <w:t>sistem upah-kerja, terjadi pemisahan antara kerja (produksi) tidak lagi menjadi tindak pemenuhan kebutuhan (konsumsi) namun sekedar sarana untuk memenuhi kebutuhan. Marx juga membedakan antara alat-alat konsumsi (means of consumption). Perbedaan tersebut tergantung pada apakah kegiatan itu berhubungan dengan produksi atau tidak.</w:t>
      </w:r>
    </w:p>
    <w:p w14:paraId="1556F527" w14:textId="560C2FFC" w:rsidR="00776E48" w:rsidRDefault="00776E48" w:rsidP="009701C0">
      <w:pPr>
        <w:jc w:val="both"/>
        <w:rPr>
          <w:rFonts w:ascii="Times New Roman" w:hAnsi="Times New Roman" w:cs="Times New Roman"/>
          <w:sz w:val="28"/>
          <w:szCs w:val="28"/>
        </w:rPr>
      </w:pPr>
      <w:r>
        <w:rPr>
          <w:rFonts w:ascii="Times New Roman" w:hAnsi="Times New Roman" w:cs="Times New Roman"/>
          <w:sz w:val="28"/>
          <w:szCs w:val="28"/>
        </w:rPr>
        <w:tab/>
        <w:t xml:space="preserve">Pemikiran sosiologi konsumsi Emile Dhurkheim dapat ditelusuri dari pemikirannya tentang pembedaan antara solidaritas mekanis dan solidaritas organis. Pada masyarakat solidaritas mekanis, pola konsumsinya relatif seragam; sedangkan pada solidaritas organis, pola konsumsinya </w:t>
      </w:r>
      <w:r w:rsidR="00655FEC">
        <w:rPr>
          <w:rFonts w:ascii="Times New Roman" w:hAnsi="Times New Roman" w:cs="Times New Roman"/>
          <w:sz w:val="28"/>
          <w:szCs w:val="28"/>
        </w:rPr>
        <w:t>relatif beragam.</w:t>
      </w:r>
    </w:p>
    <w:p w14:paraId="2C99C571" w14:textId="481F98F3" w:rsidR="00655FEC" w:rsidRDefault="00655FEC" w:rsidP="009701C0">
      <w:pPr>
        <w:jc w:val="both"/>
        <w:rPr>
          <w:rFonts w:ascii="Times New Roman" w:hAnsi="Times New Roman" w:cs="Times New Roman"/>
          <w:sz w:val="28"/>
          <w:szCs w:val="28"/>
        </w:rPr>
      </w:pPr>
      <w:r>
        <w:rPr>
          <w:rFonts w:ascii="Times New Roman" w:hAnsi="Times New Roman" w:cs="Times New Roman"/>
          <w:sz w:val="28"/>
          <w:szCs w:val="28"/>
        </w:rPr>
        <w:tab/>
        <w:t xml:space="preserve">Max Weber menyatakan bahwa tindakan konsumsi dapat dikatakan sebagai tindakan sosial sejauh tindakan tersebut memperhatikan tingkah laku dari individu lain dan oleh karena itu diarahkan pada tujuan tertentu. Sedangkan tindakan sosial itu sendiri, terdiri dari: satu, </w:t>
      </w:r>
      <w:r>
        <w:rPr>
          <w:rFonts w:ascii="Times New Roman" w:hAnsi="Times New Roman" w:cs="Times New Roman"/>
          <w:i/>
          <w:iCs/>
          <w:sz w:val="28"/>
          <w:szCs w:val="28"/>
        </w:rPr>
        <w:t>zweckrationalitat</w:t>
      </w:r>
      <w:r w:rsidR="00543B1D">
        <w:rPr>
          <w:rFonts w:ascii="Times New Roman" w:hAnsi="Times New Roman" w:cs="Times New Roman"/>
          <w:i/>
          <w:iCs/>
          <w:sz w:val="28"/>
          <w:szCs w:val="28"/>
        </w:rPr>
        <w:t>/instrumentally rational action</w:t>
      </w:r>
      <w:r w:rsidR="00543B1D">
        <w:rPr>
          <w:rFonts w:ascii="Times New Roman" w:hAnsi="Times New Roman" w:cs="Times New Roman"/>
          <w:sz w:val="28"/>
          <w:szCs w:val="28"/>
        </w:rPr>
        <w:t xml:space="preserve">/ tindakan rasional instrumental; dua, </w:t>
      </w:r>
      <w:r w:rsidR="00543B1D">
        <w:rPr>
          <w:rFonts w:ascii="Times New Roman" w:hAnsi="Times New Roman" w:cs="Times New Roman"/>
          <w:i/>
          <w:iCs/>
          <w:sz w:val="28"/>
          <w:szCs w:val="28"/>
        </w:rPr>
        <w:t xml:space="preserve">wertationalitat/value rational action/ </w:t>
      </w:r>
      <w:r w:rsidR="00543B1D">
        <w:rPr>
          <w:rFonts w:ascii="Times New Roman" w:hAnsi="Times New Roman" w:cs="Times New Roman"/>
          <w:sz w:val="28"/>
          <w:szCs w:val="28"/>
        </w:rPr>
        <w:t xml:space="preserve">tindakan rasional nilai; tiga, </w:t>
      </w:r>
      <w:r w:rsidR="00543B1D">
        <w:rPr>
          <w:rFonts w:ascii="Times New Roman" w:hAnsi="Times New Roman" w:cs="Times New Roman"/>
          <w:i/>
          <w:iCs/>
          <w:sz w:val="28"/>
          <w:szCs w:val="28"/>
        </w:rPr>
        <w:t>affectual type</w:t>
      </w:r>
      <w:r w:rsidR="00543B1D">
        <w:rPr>
          <w:rFonts w:ascii="Times New Roman" w:hAnsi="Times New Roman" w:cs="Times New Roman"/>
          <w:sz w:val="28"/>
          <w:szCs w:val="28"/>
        </w:rPr>
        <w:t xml:space="preserve">/ tindakan afektif; empat, </w:t>
      </w:r>
      <w:r w:rsidR="00543B1D">
        <w:rPr>
          <w:rFonts w:ascii="Times New Roman" w:hAnsi="Times New Roman" w:cs="Times New Roman"/>
          <w:i/>
          <w:iCs/>
          <w:sz w:val="28"/>
          <w:szCs w:val="28"/>
        </w:rPr>
        <w:t>traditional action</w:t>
      </w:r>
      <w:r w:rsidR="00543B1D">
        <w:rPr>
          <w:rFonts w:ascii="Times New Roman" w:hAnsi="Times New Roman" w:cs="Times New Roman"/>
          <w:sz w:val="28"/>
          <w:szCs w:val="28"/>
        </w:rPr>
        <w:t>/ tindakan tradisional.</w:t>
      </w:r>
    </w:p>
    <w:p w14:paraId="7F3B7E96" w14:textId="19F2CC40" w:rsidR="00543B1D" w:rsidRDefault="00543B1D" w:rsidP="009701C0">
      <w:pPr>
        <w:jc w:val="both"/>
        <w:rPr>
          <w:rFonts w:ascii="Times New Roman" w:hAnsi="Times New Roman" w:cs="Times New Roman"/>
          <w:sz w:val="28"/>
          <w:szCs w:val="28"/>
        </w:rPr>
      </w:pPr>
      <w:r>
        <w:rPr>
          <w:rFonts w:ascii="Times New Roman" w:hAnsi="Times New Roman" w:cs="Times New Roman"/>
          <w:sz w:val="28"/>
          <w:szCs w:val="28"/>
        </w:rPr>
        <w:tab/>
        <w:t xml:space="preserve">Thorstein Veblen melihat kapialisme indudtri yang berkembang secara barbar telah memunculkan </w:t>
      </w:r>
      <w:r>
        <w:rPr>
          <w:rFonts w:ascii="Times New Roman" w:hAnsi="Times New Roman" w:cs="Times New Roman"/>
          <w:i/>
          <w:iCs/>
          <w:sz w:val="28"/>
          <w:szCs w:val="28"/>
        </w:rPr>
        <w:t>abseente owner</w:t>
      </w:r>
      <w:r>
        <w:rPr>
          <w:rFonts w:ascii="Times New Roman" w:hAnsi="Times New Roman" w:cs="Times New Roman"/>
          <w:sz w:val="28"/>
          <w:szCs w:val="28"/>
        </w:rPr>
        <w:t xml:space="preserve">, </w:t>
      </w:r>
      <w:r w:rsidR="008429A3">
        <w:rPr>
          <w:rFonts w:ascii="Times New Roman" w:hAnsi="Times New Roman" w:cs="Times New Roman"/>
          <w:sz w:val="28"/>
          <w:szCs w:val="28"/>
        </w:rPr>
        <w:t xml:space="preserve">yaitu para pemilik modal yang tidak mengerjakan apa-apa tetapi memperoleh hasil yang banyak. Dia menemukan sisi negatip dari </w:t>
      </w:r>
      <w:r w:rsidR="008429A3">
        <w:rPr>
          <w:rFonts w:ascii="Times New Roman" w:hAnsi="Times New Roman" w:cs="Times New Roman"/>
          <w:i/>
          <w:iCs/>
          <w:sz w:val="28"/>
          <w:szCs w:val="28"/>
        </w:rPr>
        <w:t>abseente ownership</w:t>
      </w:r>
      <w:r w:rsidR="008429A3">
        <w:rPr>
          <w:rFonts w:ascii="Times New Roman" w:hAnsi="Times New Roman" w:cs="Times New Roman"/>
          <w:sz w:val="28"/>
          <w:szCs w:val="28"/>
        </w:rPr>
        <w:t xml:space="preserve">, yaitu munculnya suatu lapisan masyarakat yang disebutnya sebagai </w:t>
      </w:r>
      <w:r w:rsidR="008429A3">
        <w:rPr>
          <w:rFonts w:ascii="Times New Roman" w:hAnsi="Times New Roman" w:cs="Times New Roman"/>
          <w:i/>
          <w:iCs/>
          <w:sz w:val="28"/>
          <w:szCs w:val="28"/>
        </w:rPr>
        <w:t>leisure class</w:t>
      </w:r>
      <w:r w:rsidR="008429A3">
        <w:rPr>
          <w:rFonts w:ascii="Times New Roman" w:hAnsi="Times New Roman" w:cs="Times New Roman"/>
          <w:sz w:val="28"/>
          <w:szCs w:val="28"/>
        </w:rPr>
        <w:t xml:space="preserve">, yaitu suatu kelas sosial yang mengembangkan suatu budaya yang ditandai oleh nafsu untuk mengejar kekayaan berupa uang, dikenal dengan </w:t>
      </w:r>
      <w:r w:rsidR="008429A3">
        <w:rPr>
          <w:rFonts w:ascii="Times New Roman" w:hAnsi="Times New Roman" w:cs="Times New Roman"/>
          <w:i/>
          <w:iCs/>
          <w:sz w:val="28"/>
          <w:szCs w:val="28"/>
        </w:rPr>
        <w:t>pecunari culture</w:t>
      </w:r>
      <w:r w:rsidR="008429A3">
        <w:rPr>
          <w:rFonts w:ascii="Times New Roman" w:hAnsi="Times New Roman" w:cs="Times New Roman"/>
          <w:sz w:val="28"/>
          <w:szCs w:val="28"/>
        </w:rPr>
        <w:t xml:space="preserve"> serta pola “konsumsi yang mencolok” </w:t>
      </w:r>
      <w:r w:rsidR="006B3D3C">
        <w:rPr>
          <w:rFonts w:ascii="Times New Roman" w:hAnsi="Times New Roman" w:cs="Times New Roman"/>
          <w:sz w:val="28"/>
          <w:szCs w:val="28"/>
        </w:rPr>
        <w:t>(</w:t>
      </w:r>
      <w:r w:rsidR="006B3D3C">
        <w:rPr>
          <w:rFonts w:ascii="Times New Roman" w:hAnsi="Times New Roman" w:cs="Times New Roman"/>
          <w:i/>
          <w:iCs/>
          <w:sz w:val="28"/>
          <w:szCs w:val="28"/>
        </w:rPr>
        <w:t>conspicuous consumption)</w:t>
      </w:r>
      <w:r w:rsidR="006B3D3C">
        <w:rPr>
          <w:rFonts w:ascii="Times New Roman" w:hAnsi="Times New Roman" w:cs="Times New Roman"/>
          <w:sz w:val="28"/>
          <w:szCs w:val="28"/>
        </w:rPr>
        <w:t xml:space="preserve">, yaitu pengeluaran yang sia-sia untuk kesenangan semata dan hasrat untuk menunjukan suatu posisi atau status sosial yang lebih terpandang dibandingkan dengan kalangan-kalangan yang lainnya. </w:t>
      </w:r>
    </w:p>
    <w:p w14:paraId="12926408" w14:textId="01E37B4A" w:rsidR="006B3D3C" w:rsidRDefault="006B3D3C" w:rsidP="009701C0">
      <w:pPr>
        <w:jc w:val="both"/>
        <w:rPr>
          <w:rFonts w:ascii="Times New Roman" w:hAnsi="Times New Roman" w:cs="Times New Roman"/>
          <w:sz w:val="28"/>
          <w:szCs w:val="28"/>
        </w:rPr>
      </w:pPr>
      <w:r>
        <w:rPr>
          <w:rFonts w:ascii="Times New Roman" w:hAnsi="Times New Roman" w:cs="Times New Roman"/>
          <w:sz w:val="28"/>
          <w:szCs w:val="28"/>
        </w:rPr>
        <w:tab/>
      </w:r>
      <w:r w:rsidR="004F14B7">
        <w:rPr>
          <w:rFonts w:ascii="Times New Roman" w:hAnsi="Times New Roman" w:cs="Times New Roman"/>
          <w:sz w:val="28"/>
          <w:szCs w:val="28"/>
        </w:rPr>
        <w:t xml:space="preserve">Untuk mencapai tujuan, para pemiliki modal melakukan praktik monopoli atau oligopoly. Perkembangan ekonomi berjalan dengan dinamis, namun kasar dan ganas karena tidak adanya aturan. Jika ada, aturan tersebut hanya berlaku di </w:t>
      </w:r>
      <w:r w:rsidR="004F14B7">
        <w:rPr>
          <w:rFonts w:ascii="Times New Roman" w:hAnsi="Times New Roman" w:cs="Times New Roman"/>
          <w:sz w:val="28"/>
          <w:szCs w:val="28"/>
        </w:rPr>
        <w:lastRenderedPageBreak/>
        <w:t>antara kelompok perusahaan yang memiliki monopoli atau oligopoly. Keadaan ini menyengsarakan rakyat, terutama dari kelompok tani kecil dan menengah.</w:t>
      </w:r>
    </w:p>
    <w:p w14:paraId="005C90A9" w14:textId="553C60A5" w:rsidR="001501D9" w:rsidRDefault="004F14B7" w:rsidP="009701C0">
      <w:pPr>
        <w:jc w:val="both"/>
        <w:rPr>
          <w:rFonts w:ascii="Times New Roman" w:hAnsi="Times New Roman" w:cs="Times New Roman"/>
          <w:sz w:val="28"/>
          <w:szCs w:val="28"/>
        </w:rPr>
      </w:pPr>
      <w:r>
        <w:rPr>
          <w:rFonts w:ascii="Times New Roman" w:hAnsi="Times New Roman" w:cs="Times New Roman"/>
          <w:sz w:val="28"/>
          <w:szCs w:val="28"/>
        </w:rPr>
        <w:tab/>
      </w:r>
      <w:r w:rsidR="00B2235F">
        <w:rPr>
          <w:rFonts w:ascii="Times New Roman" w:hAnsi="Times New Roman" w:cs="Times New Roman"/>
          <w:sz w:val="28"/>
          <w:szCs w:val="28"/>
        </w:rPr>
        <w:t>Tokoh teori kontemporer, yang berasal dari berbagai latarbelakang, telah memberikan gagasan teoritis yang berharga bagi pengembangan sosiologi konsumsi. Mereka terdiri dari Paul Lazar</w:t>
      </w:r>
      <w:r w:rsidR="00E602DE">
        <w:rPr>
          <w:rFonts w:ascii="Times New Roman" w:hAnsi="Times New Roman" w:cs="Times New Roman"/>
          <w:sz w:val="28"/>
          <w:szCs w:val="28"/>
        </w:rPr>
        <w:t xml:space="preserve">sfeld, Pierre Bourdieu, Mary Douglas, dan Baron Isherwood serta Jean Baudrillard. Sumbangan Lazarsfeld dkk pada sosiologi konsumsi adalah ide, penemuan dan metodologi tentang riset pasar dan studi empiris tentang jaringan. Dalam riset pasar, Lazarsfeld dkk telah membuat data base tentang pengeluaran orang terhadap barang yang dikonsumsi. Sedangkan dalam studi empiris tentang jaringan, mereka menemukan bagaimana </w:t>
      </w:r>
      <w:r w:rsidR="001501D9">
        <w:rPr>
          <w:rFonts w:ascii="Times New Roman" w:hAnsi="Times New Roman" w:cs="Times New Roman"/>
          <w:sz w:val="28"/>
          <w:szCs w:val="28"/>
        </w:rPr>
        <w:t>kelompok sosial belajar tentang, mencoba, dan mengadopsi atau menolak suatu perilaku, ide atau produk.</w:t>
      </w:r>
    </w:p>
    <w:p w14:paraId="08546AA5" w14:textId="143E2205" w:rsidR="001501D9" w:rsidRDefault="001501D9" w:rsidP="009701C0">
      <w:pPr>
        <w:jc w:val="both"/>
        <w:rPr>
          <w:rFonts w:ascii="Times New Roman" w:hAnsi="Times New Roman" w:cs="Times New Roman"/>
          <w:sz w:val="28"/>
          <w:szCs w:val="28"/>
        </w:rPr>
      </w:pPr>
      <w:r>
        <w:rPr>
          <w:rFonts w:ascii="Times New Roman" w:hAnsi="Times New Roman" w:cs="Times New Roman"/>
          <w:sz w:val="28"/>
          <w:szCs w:val="28"/>
        </w:rPr>
        <w:tab/>
        <w:t xml:space="preserve">Bourdieu menyumbangkan gagasan berharga kepada sosiologi konsumsi melalui </w:t>
      </w:r>
      <w:r>
        <w:rPr>
          <w:rFonts w:ascii="Times New Roman" w:hAnsi="Times New Roman" w:cs="Times New Roman"/>
          <w:i/>
          <w:iCs/>
          <w:sz w:val="28"/>
          <w:szCs w:val="28"/>
        </w:rPr>
        <w:t xml:space="preserve">distinction, </w:t>
      </w:r>
      <w:r>
        <w:rPr>
          <w:rFonts w:ascii="Times New Roman" w:hAnsi="Times New Roman" w:cs="Times New Roman"/>
          <w:sz w:val="28"/>
          <w:szCs w:val="28"/>
        </w:rPr>
        <w:t xml:space="preserve">terutama tentang selera. Menurut Bourdieu, selera berkaitan dengan ranah (field) dan habitus yang dimiliki. Sementara, posisi berbagai agen (individu atau kolektif) dalam ranah berkait dengan jumlah kapital yang dipunyai, terutama kapital ekonomi </w:t>
      </w:r>
      <w:r w:rsidR="00AE1933">
        <w:rPr>
          <w:rFonts w:ascii="Times New Roman" w:hAnsi="Times New Roman" w:cs="Times New Roman"/>
          <w:sz w:val="28"/>
          <w:szCs w:val="28"/>
        </w:rPr>
        <w:t xml:space="preserve">dan kapital budaya. Sedangkan habitus berfungsi pada setiap kesempatan sebagai sebuah matriks persepsi, apresiasi dan tindakan-tindakan. </w:t>
      </w:r>
    </w:p>
    <w:p w14:paraId="0D79566D" w14:textId="46138852" w:rsidR="00DD32CA" w:rsidRPr="00AE1933" w:rsidRDefault="00AE1933" w:rsidP="009701C0">
      <w:pPr>
        <w:jc w:val="both"/>
        <w:rPr>
          <w:rFonts w:ascii="Times New Roman" w:hAnsi="Times New Roman" w:cs="Times New Roman"/>
          <w:sz w:val="28"/>
          <w:szCs w:val="28"/>
        </w:rPr>
      </w:pPr>
      <w:r>
        <w:rPr>
          <w:rFonts w:ascii="Times New Roman" w:hAnsi="Times New Roman" w:cs="Times New Roman"/>
          <w:sz w:val="28"/>
          <w:szCs w:val="28"/>
        </w:rPr>
        <w:tab/>
        <w:t xml:space="preserve">Sementara Douglas dan Isherwood melalui buku </w:t>
      </w:r>
      <w:r w:rsidRPr="00AE1933">
        <w:rPr>
          <w:rFonts w:ascii="Times New Roman" w:hAnsi="Times New Roman" w:cs="Times New Roman"/>
          <w:i/>
          <w:iCs/>
          <w:sz w:val="28"/>
          <w:szCs w:val="28"/>
        </w:rPr>
        <w:t>the world of goods</w:t>
      </w:r>
      <w:r>
        <w:rPr>
          <w:rFonts w:ascii="Times New Roman" w:hAnsi="Times New Roman" w:cs="Times New Roman"/>
          <w:sz w:val="28"/>
          <w:szCs w:val="28"/>
        </w:rPr>
        <w:t xml:space="preserve"> berpendapat bahwa terdapat dua kegunaan dari benda-benda (</w:t>
      </w:r>
      <w:r>
        <w:rPr>
          <w:rFonts w:ascii="Times New Roman" w:hAnsi="Times New Roman" w:cs="Times New Roman"/>
          <w:i/>
          <w:iCs/>
          <w:sz w:val="28"/>
          <w:szCs w:val="28"/>
        </w:rPr>
        <w:t>goods</w:t>
      </w:r>
      <w:r>
        <w:rPr>
          <w:rFonts w:ascii="Times New Roman" w:hAnsi="Times New Roman" w:cs="Times New Roman"/>
          <w:sz w:val="28"/>
          <w:szCs w:val="28"/>
        </w:rPr>
        <w:t>). Adapun dua fungsi utama dari benda-benda adalah: satu, benda-benda diperlukan untuk membuat kategori-kategori kebudayaan agar</w:t>
      </w:r>
      <w:r w:rsidR="009201CD">
        <w:rPr>
          <w:rFonts w:ascii="Times New Roman" w:hAnsi="Times New Roman" w:cs="Times New Roman"/>
          <w:sz w:val="28"/>
          <w:szCs w:val="28"/>
        </w:rPr>
        <w:t xml:space="preserve"> terlihat dan stabil. Benda-benda merupakan sarana yang membuat kategori dasar tampak terlihat sebagai acuan klasifikasi seseorang dalam masyarakat, sehingga ia berperan sebagai sumber identitas sosial dan pembawa makna sosial. Dua, benda-benda menciptakan dan mempertahankan hubungan sosial. Individu-individu menciptakan hubungan sosial, yang pada akhirnya mengkristal pada apa yang dinamakan kehidupan sosial, </w:t>
      </w:r>
      <w:r w:rsidR="00DD32CA">
        <w:rPr>
          <w:rFonts w:ascii="Times New Roman" w:hAnsi="Times New Roman" w:cs="Times New Roman"/>
          <w:sz w:val="28"/>
          <w:szCs w:val="28"/>
        </w:rPr>
        <w:t xml:space="preserve">melalui proses perolehan, penggunaan dan pertukaran benda-benda. Sedangkan bagi Baudrillard, konsumsi merupakan suatu sistem aksi dari manipulasi tanda. Suapaya menjadi objek konsumsi, objek harus menjadi tanda, ketika kita mengonsumsi objek, kita mengonsumsi tanda. </w:t>
      </w:r>
    </w:p>
    <w:sectPr w:rsidR="00DD32CA" w:rsidRPr="00AE1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6C8C"/>
    <w:multiLevelType w:val="hybridMultilevel"/>
    <w:tmpl w:val="3F8A0E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72491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C3"/>
    <w:rsid w:val="00022A67"/>
    <w:rsid w:val="00035A65"/>
    <w:rsid w:val="001501D9"/>
    <w:rsid w:val="002F636D"/>
    <w:rsid w:val="003A3402"/>
    <w:rsid w:val="00417D4B"/>
    <w:rsid w:val="00472476"/>
    <w:rsid w:val="004F14B7"/>
    <w:rsid w:val="00543B1D"/>
    <w:rsid w:val="00637065"/>
    <w:rsid w:val="00655FEC"/>
    <w:rsid w:val="006A3EC3"/>
    <w:rsid w:val="006B3D3C"/>
    <w:rsid w:val="00776E48"/>
    <w:rsid w:val="007E767D"/>
    <w:rsid w:val="008429A3"/>
    <w:rsid w:val="00851853"/>
    <w:rsid w:val="009201CD"/>
    <w:rsid w:val="009701C0"/>
    <w:rsid w:val="009F67A5"/>
    <w:rsid w:val="00A374CA"/>
    <w:rsid w:val="00AE1933"/>
    <w:rsid w:val="00AE197A"/>
    <w:rsid w:val="00B2235F"/>
    <w:rsid w:val="00B40414"/>
    <w:rsid w:val="00B54858"/>
    <w:rsid w:val="00B82F8E"/>
    <w:rsid w:val="00DC41E6"/>
    <w:rsid w:val="00DD32CA"/>
    <w:rsid w:val="00DE6D26"/>
    <w:rsid w:val="00E07E6C"/>
    <w:rsid w:val="00E602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4253"/>
  <w15:docId w15:val="{6C43A9CC-DA5B-44A8-B192-F7677494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53"/>
    <w:pPr>
      <w:ind w:left="720"/>
      <w:contextualSpacing/>
    </w:pPr>
  </w:style>
  <w:style w:type="character" w:styleId="Hyperlink">
    <w:name w:val="Hyperlink"/>
    <w:basedOn w:val="DefaultParagraphFont"/>
    <w:uiPriority w:val="99"/>
    <w:unhideWhenUsed/>
    <w:rsid w:val="00851853"/>
    <w:rPr>
      <w:color w:val="0563C1" w:themeColor="hyperlink"/>
      <w:u w:val="single"/>
    </w:rPr>
  </w:style>
  <w:style w:type="character" w:styleId="UnresolvedMention">
    <w:name w:val="Unresolved Mention"/>
    <w:basedOn w:val="DefaultParagraphFont"/>
    <w:uiPriority w:val="99"/>
    <w:semiHidden/>
    <w:unhideWhenUsed/>
    <w:rsid w:val="008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763">
      <w:bodyDiv w:val="1"/>
      <w:marLeft w:val="0"/>
      <w:marRight w:val="0"/>
      <w:marTop w:val="0"/>
      <w:marBottom w:val="0"/>
      <w:divBdr>
        <w:top w:val="none" w:sz="0" w:space="0" w:color="auto"/>
        <w:left w:val="none" w:sz="0" w:space="0" w:color="auto"/>
        <w:bottom w:val="none" w:sz="0" w:space="0" w:color="auto"/>
        <w:right w:val="none" w:sz="0" w:space="0" w:color="auto"/>
      </w:divBdr>
    </w:div>
    <w:div w:id="288053302">
      <w:bodyDiv w:val="1"/>
      <w:marLeft w:val="0"/>
      <w:marRight w:val="0"/>
      <w:marTop w:val="0"/>
      <w:marBottom w:val="0"/>
      <w:divBdr>
        <w:top w:val="none" w:sz="0" w:space="0" w:color="auto"/>
        <w:left w:val="none" w:sz="0" w:space="0" w:color="auto"/>
        <w:bottom w:val="none" w:sz="0" w:space="0" w:color="auto"/>
        <w:right w:val="none" w:sz="0" w:space="0" w:color="auto"/>
      </w:divBdr>
    </w:div>
    <w:div w:id="16531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Saepul Hamdi</dc:creator>
  <cp:keywords/>
  <dc:description/>
  <cp:lastModifiedBy>DESI LESTARI</cp:lastModifiedBy>
  <cp:revision>4</cp:revision>
  <dcterms:created xsi:type="dcterms:W3CDTF">2022-07-29T13:43:00Z</dcterms:created>
  <dcterms:modified xsi:type="dcterms:W3CDTF">2022-08-02T09:29:00Z</dcterms:modified>
</cp:coreProperties>
</file>