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931" w:rsidRDefault="001B12C9">
      <w:r w:rsidRPr="001B12C9">
        <w:rPr>
          <w:noProof/>
          <w:lang w:val="en-US"/>
        </w:rPr>
        <w:pict>
          <v:shapetype id="_x0000_t202" coordsize="21600,21600" o:spt="202" path="m,l,21600r21600,l21600,xe">
            <v:stroke joinstyle="miter"/>
            <v:path gradientshapeok="t" o:connecttype="rect"/>
          </v:shapetype>
          <v:shape id="_x0000_s1028" type="#_x0000_t202" style="position:absolute;margin-left:103.55pt;margin-top:-14.1pt;width:478.45pt;height:89.25pt;z-index:251656704" stroked="f">
            <v:textbox style="mso-next-textbox:#_x0000_s1028">
              <w:txbxContent>
                <w:p w:rsidR="005174B3" w:rsidRPr="00AD7FC0" w:rsidRDefault="005174B3">
                  <w:pPr>
                    <w:rPr>
                      <w:b/>
                      <w:sz w:val="36"/>
                      <w:szCs w:val="36"/>
                    </w:rPr>
                  </w:pPr>
                  <w:r w:rsidRPr="00AD7FC0">
                    <w:rPr>
                      <w:sz w:val="28"/>
                      <w:szCs w:val="28"/>
                    </w:rPr>
                    <w:t xml:space="preserve"> </w:t>
                  </w:r>
                  <w:r w:rsidRPr="00AD7FC0">
                    <w:rPr>
                      <w:sz w:val="28"/>
                      <w:szCs w:val="28"/>
                      <w:lang w:val="en-US"/>
                    </w:rPr>
                    <w:t xml:space="preserve">  </w:t>
                  </w:r>
                  <w:r w:rsidRPr="00AD7FC0">
                    <w:rPr>
                      <w:b/>
                      <w:sz w:val="36"/>
                      <w:szCs w:val="36"/>
                    </w:rPr>
                    <w:t>YAYASAN  RAUDHATUL  ILMI  TAMALANREA</w:t>
                  </w:r>
                </w:p>
                <w:p w:rsidR="005174B3" w:rsidRPr="00AD7FC0" w:rsidRDefault="005174B3">
                  <w:pPr>
                    <w:rPr>
                      <w:b/>
                      <w:sz w:val="20"/>
                      <w:szCs w:val="20"/>
                    </w:rPr>
                  </w:pPr>
                  <w:r w:rsidRPr="00AD7FC0">
                    <w:rPr>
                      <w:b/>
                      <w:sz w:val="20"/>
                      <w:szCs w:val="20"/>
                    </w:rPr>
                    <w:t xml:space="preserve">                            STATUS BADAN HUKUM, NPWP: 02.462.931.3-801.000 </w:t>
                  </w:r>
                </w:p>
                <w:p w:rsidR="005174B3" w:rsidRPr="00AD7FC0" w:rsidRDefault="005174B3" w:rsidP="00F340C1">
                  <w:pPr>
                    <w:rPr>
                      <w:b/>
                      <w:sz w:val="40"/>
                      <w:szCs w:val="36"/>
                      <w:lang w:val="en-US"/>
                    </w:rPr>
                  </w:pPr>
                  <w:r w:rsidRPr="00AD7FC0">
                    <w:rPr>
                      <w:b/>
                      <w:sz w:val="32"/>
                      <w:szCs w:val="32"/>
                    </w:rPr>
                    <w:t xml:space="preserve">                                </w:t>
                  </w:r>
                  <w:r w:rsidRPr="00AD7FC0">
                    <w:rPr>
                      <w:b/>
                      <w:sz w:val="40"/>
                      <w:szCs w:val="36"/>
                    </w:rPr>
                    <w:t xml:space="preserve">P </w:t>
                  </w:r>
                  <w:r w:rsidRPr="00AD7FC0">
                    <w:rPr>
                      <w:b/>
                      <w:sz w:val="40"/>
                      <w:szCs w:val="36"/>
                      <w:lang w:val="en-US"/>
                    </w:rPr>
                    <w:t xml:space="preserve">E N G U R U S </w:t>
                  </w:r>
                </w:p>
                <w:p w:rsidR="005174B3" w:rsidRPr="00AD7FC0" w:rsidRDefault="005174B3" w:rsidP="00B16ED4">
                  <w:pPr>
                    <w:rPr>
                      <w:b/>
                      <w:sz w:val="18"/>
                      <w:szCs w:val="18"/>
                    </w:rPr>
                  </w:pPr>
                  <w:r w:rsidRPr="00AD7FC0">
                    <w:rPr>
                      <w:b/>
                      <w:sz w:val="16"/>
                      <w:szCs w:val="16"/>
                    </w:rPr>
                    <w:t xml:space="preserve"> </w:t>
                  </w:r>
                  <w:r w:rsidRPr="00AD7FC0">
                    <w:rPr>
                      <w:b/>
                      <w:sz w:val="16"/>
                      <w:szCs w:val="16"/>
                      <w:lang w:val="en-US"/>
                    </w:rPr>
                    <w:t xml:space="preserve">     </w:t>
                  </w:r>
                  <w:r w:rsidRPr="00AD7FC0">
                    <w:rPr>
                      <w:b/>
                      <w:sz w:val="18"/>
                      <w:szCs w:val="18"/>
                    </w:rPr>
                    <w:t>Sekretariat :  Masjid Ikhtiar Tamalanrea Kompleks  Perumahan Dosen UNHAS Tamalanrea Jaya</w:t>
                  </w:r>
                </w:p>
                <w:p w:rsidR="005174B3" w:rsidRPr="00AD7FC0" w:rsidRDefault="005174B3" w:rsidP="00B16ED4">
                  <w:pPr>
                    <w:rPr>
                      <w:b/>
                      <w:sz w:val="18"/>
                      <w:szCs w:val="18"/>
                    </w:rPr>
                  </w:pPr>
                  <w:r w:rsidRPr="00AD7FC0">
                    <w:rPr>
                      <w:b/>
                      <w:sz w:val="18"/>
                      <w:szCs w:val="18"/>
                    </w:rPr>
                    <w:t xml:space="preserve">                        </w:t>
                  </w:r>
                  <w:r w:rsidRPr="00AD7FC0">
                    <w:rPr>
                      <w:b/>
                      <w:sz w:val="18"/>
                      <w:szCs w:val="18"/>
                      <w:lang w:val="en-US"/>
                    </w:rPr>
                    <w:t xml:space="preserve">    </w:t>
                  </w:r>
                  <w:r w:rsidRPr="00AD7FC0">
                    <w:rPr>
                      <w:b/>
                      <w:sz w:val="18"/>
                      <w:szCs w:val="18"/>
                    </w:rPr>
                    <w:t xml:space="preserve"> Kode Pos 90245  Telp. (O411) 5058295, 587012  </w:t>
                  </w:r>
                </w:p>
                <w:p w:rsidR="005174B3" w:rsidRPr="00AD7FC0" w:rsidRDefault="005174B3" w:rsidP="00B16ED4">
                  <w:pPr>
                    <w:rPr>
                      <w:b/>
                      <w:color w:val="0000FF"/>
                      <w:sz w:val="18"/>
                      <w:szCs w:val="18"/>
                    </w:rPr>
                  </w:pPr>
                  <w:r w:rsidRPr="00AD7FC0">
                    <w:rPr>
                      <w:b/>
                      <w:color w:val="0000FF"/>
                      <w:sz w:val="18"/>
                      <w:szCs w:val="18"/>
                    </w:rPr>
                    <w:t xml:space="preserve">                        </w:t>
                  </w:r>
                </w:p>
              </w:txbxContent>
            </v:textbox>
          </v:shape>
        </w:pict>
      </w:r>
      <w:r w:rsidR="00AD7FC0">
        <w:rPr>
          <w:noProof/>
          <w:lang w:eastAsia="id-ID"/>
        </w:rPr>
        <w:drawing>
          <wp:anchor distT="0" distB="0" distL="114300" distR="114300" simplePos="0" relativeHeight="251658752" behindDoc="0" locked="0" layoutInCell="1" allowOverlap="1">
            <wp:simplePos x="0" y="0"/>
            <wp:positionH relativeFrom="column">
              <wp:posOffset>151765</wp:posOffset>
            </wp:positionH>
            <wp:positionV relativeFrom="paragraph">
              <wp:posOffset>-302895</wp:posOffset>
            </wp:positionV>
            <wp:extent cx="1087120" cy="1171575"/>
            <wp:effectExtent l="19050" t="0" r="0" b="0"/>
            <wp:wrapNone/>
            <wp:docPr id="11" name="Picture 3" descr="logo baru.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baru.bmp"/>
                    <pic:cNvPicPr>
                      <a:picLocks noChangeAspect="1" noChangeArrowheads="1"/>
                    </pic:cNvPicPr>
                  </pic:nvPicPr>
                  <pic:blipFill>
                    <a:blip r:embed="rId6" cstate="print">
                      <a:lum bright="-50000" contrast="82000"/>
                    </a:blip>
                    <a:srcRect/>
                    <a:stretch>
                      <a:fillRect/>
                    </a:stretch>
                  </pic:blipFill>
                  <pic:spPr bwMode="auto">
                    <a:xfrm>
                      <a:off x="0" y="0"/>
                      <a:ext cx="1087120" cy="1171575"/>
                    </a:xfrm>
                    <a:prstGeom prst="rect">
                      <a:avLst/>
                    </a:prstGeom>
                    <a:noFill/>
                    <a:ln w="9525">
                      <a:noFill/>
                      <a:miter lim="800000"/>
                      <a:headEnd/>
                      <a:tailEnd/>
                    </a:ln>
                  </pic:spPr>
                </pic:pic>
              </a:graphicData>
            </a:graphic>
          </wp:anchor>
        </w:drawing>
      </w:r>
    </w:p>
    <w:p w:rsidR="007E63A4" w:rsidRDefault="007E63A4"/>
    <w:p w:rsidR="00C15A04" w:rsidRDefault="00C15A04" w:rsidP="00C15A04">
      <w:pPr>
        <w:pStyle w:val="BodyTextIndent"/>
        <w:jc w:val="both"/>
        <w:rPr>
          <w:lang w:val="en-US"/>
        </w:rPr>
      </w:pPr>
    </w:p>
    <w:p w:rsidR="00C15A04" w:rsidRDefault="00C15A04" w:rsidP="00C15A04">
      <w:pPr>
        <w:pStyle w:val="BodyTextIndent"/>
        <w:jc w:val="both"/>
        <w:rPr>
          <w:lang w:val="en-US"/>
        </w:rPr>
      </w:pPr>
    </w:p>
    <w:p w:rsidR="00B16ED4" w:rsidRDefault="001B12C9" w:rsidP="00F9297A">
      <w:pPr>
        <w:spacing w:line="360" w:lineRule="auto"/>
        <w:jc w:val="center"/>
      </w:pPr>
      <w:r w:rsidRPr="001B12C9">
        <w:rPr>
          <w:noProof/>
          <w:lang w:val="en-US"/>
        </w:rPr>
        <w:pict>
          <v:line id="_x0000_s1031" style="position:absolute;left:0;text-align:left;z-index:251657728" from="-18pt,19.95pt" to="542.25pt,19.95pt" strokeweight="4.5pt">
            <v:stroke linestyle="thinThick"/>
          </v:line>
        </w:pict>
      </w:r>
      <w:r w:rsidR="00DB0D5A">
        <w:rPr>
          <w:lang w:val="en-US"/>
        </w:rPr>
        <w:t xml:space="preserve">    </w:t>
      </w:r>
    </w:p>
    <w:p w:rsidR="008805CD" w:rsidRDefault="008805CD" w:rsidP="00D71181">
      <w:pPr>
        <w:ind w:left="567"/>
        <w:rPr>
          <w:rFonts w:ascii="Arial" w:hAnsi="Arial" w:cs="Arial"/>
        </w:rPr>
      </w:pPr>
    </w:p>
    <w:p w:rsidR="00197D1E" w:rsidRPr="00197D1E" w:rsidRDefault="00C370B7" w:rsidP="00197D1E">
      <w:pPr>
        <w:pStyle w:val="ListParagraph"/>
        <w:numPr>
          <w:ilvl w:val="0"/>
          <w:numId w:val="8"/>
        </w:numPr>
        <w:ind w:left="709" w:hanging="283"/>
        <w:jc w:val="both"/>
        <w:rPr>
          <w:rFonts w:asciiTheme="majorBidi" w:hAnsiTheme="majorBidi" w:cstheme="majorBidi"/>
        </w:rPr>
      </w:pPr>
      <w:r w:rsidRPr="00197D1E">
        <w:rPr>
          <w:rFonts w:asciiTheme="majorBidi" w:hAnsiTheme="majorBidi" w:cstheme="majorBidi"/>
        </w:rPr>
        <w:t xml:space="preserve">Struktur dan susunan yang diajukan adalah bentuk kepengurusan yang sulit diakomodasi karena bertentangan dengan AD dari Yayasan Raudhatul Ilmi Tamakanrea (YRIT) yang tertuang dalam akta YRIT dengan No. ................ yang dalam kepengurusannya hanya mengenal Pembina, Pengawas, Pengurus dan Pengurus Harian.  Jadi tidak dikenal adanya Pembina, Majelis Syuro pada tingkat Departemen   yang bila diakomodasi hal tersebut merupakan penghianatan terhadap aturan yang telah digariskan di dalam oleh AD/ART dari Yayasan Raudhatul Ilmi Tamakanrea (YRIT). </w:t>
      </w:r>
    </w:p>
    <w:p w:rsidR="00197D1E" w:rsidRDefault="00197D1E" w:rsidP="00197D1E">
      <w:pPr>
        <w:pStyle w:val="ListParagraph"/>
        <w:ind w:left="709"/>
        <w:jc w:val="both"/>
        <w:rPr>
          <w:rFonts w:asciiTheme="majorBidi" w:hAnsiTheme="majorBidi" w:cstheme="majorBidi"/>
          <w:sz w:val="24"/>
          <w:szCs w:val="24"/>
        </w:rPr>
      </w:pPr>
    </w:p>
    <w:p w:rsidR="00197D1E" w:rsidRDefault="00C370B7" w:rsidP="00197D1E">
      <w:pPr>
        <w:pStyle w:val="ListParagraph"/>
        <w:numPr>
          <w:ilvl w:val="0"/>
          <w:numId w:val="8"/>
        </w:numPr>
        <w:ind w:left="709" w:hanging="283"/>
        <w:jc w:val="both"/>
        <w:rPr>
          <w:rFonts w:asciiTheme="majorBidi" w:hAnsiTheme="majorBidi" w:cstheme="majorBidi"/>
          <w:sz w:val="24"/>
          <w:szCs w:val="24"/>
        </w:rPr>
      </w:pPr>
      <w:r w:rsidRPr="00197D1E">
        <w:rPr>
          <w:rFonts w:asciiTheme="majorBidi" w:hAnsiTheme="majorBidi" w:cstheme="majorBidi"/>
          <w:sz w:val="24"/>
          <w:szCs w:val="24"/>
        </w:rPr>
        <w:t xml:space="preserve">Dalam konsideran draf  Surat Keputusan yang diajukan pada konsideran Menimbang poin b. “..... Masjid bukan milik YRIT, ......,  maka kami menganggap bahwa hubungan seperti ini merupakan sesuatu yang telah diatur oleh AD/ART yang mengatur hubungan antara yayasan dan Departemennya masing-masing, sehingga apabila ada hal yang dianggap kurang tegas, maka perlu dilakukan amandemen yang akan diakomoasi sewaktu dilakukan rapat kerja sehingga tidak perlu dituangkan dalam konsideran dalam surat keputusan.  Demikian halnya pada poin  c. .............. YRIT memiliki hubungan kolaboratif ........... merupakan hal yang telah diatur oleh Anggaran Dasar (AD) yang hemat kami tidak perlu dijadikan pertimbangan bagi Surat keputusan yang dikeluarkan oleh Yayasan.  Hubungan antara Yayasan dan Departemen, Kepengurusan Masjid seperti yang pada pengurusan Periode 2005-2010, dengan Nama “DEPARTEMEN PEMBINAAN MASJID” yang juga nama Departemen tersebut digunakan dalam setiap Keputusan dalam pembentukan panitia Ad Hoc, sudah berjalan baik dan perlu diteruskan, hanya perlu ditingkatkan dimasa-masa yang akan datang.  </w:t>
      </w:r>
    </w:p>
    <w:p w:rsidR="00197D1E" w:rsidRPr="00197D1E" w:rsidRDefault="00197D1E" w:rsidP="00197D1E">
      <w:pPr>
        <w:jc w:val="both"/>
        <w:rPr>
          <w:rFonts w:asciiTheme="majorBidi" w:hAnsiTheme="majorBidi" w:cstheme="majorBidi"/>
        </w:rPr>
      </w:pPr>
    </w:p>
    <w:p w:rsidR="00197D1E" w:rsidRDefault="00C370B7" w:rsidP="00197D1E">
      <w:pPr>
        <w:pStyle w:val="ListParagraph"/>
        <w:numPr>
          <w:ilvl w:val="0"/>
          <w:numId w:val="8"/>
        </w:numPr>
        <w:ind w:left="709" w:hanging="283"/>
        <w:jc w:val="both"/>
        <w:rPr>
          <w:rFonts w:asciiTheme="majorBidi" w:hAnsiTheme="majorBidi" w:cstheme="majorBidi"/>
          <w:sz w:val="24"/>
          <w:szCs w:val="24"/>
        </w:rPr>
      </w:pPr>
      <w:r w:rsidRPr="00197D1E">
        <w:rPr>
          <w:rFonts w:asciiTheme="majorBidi" w:hAnsiTheme="majorBidi" w:cstheme="majorBidi"/>
          <w:sz w:val="24"/>
          <w:szCs w:val="24"/>
        </w:rPr>
        <w:t xml:space="preserve">Mengenai otonomi keuangan, model pengelolaan keuangan seperti inipun telah berjalan pada kepengurusan yang lalu dimana Masjid sebagai bagian yang tidak terpisahkan dari Yayasan, meskipun demikian keadaan ini prlu ditingkatkan dalam akuntabilitas pengelolaannya dimasa yang akan datang. Untuk itu dimasa yang akan datang perlu ditingkatkan dengan meningkatkan peranan pengawas dan bendahara yayasan dalam mengauditnya dan bahkan menurut UUD No.28. Tahun 2004, pasal 52 ayat 3, yang mewajibkan audit tersebut. </w:t>
      </w:r>
    </w:p>
    <w:p w:rsidR="00197D1E" w:rsidRPr="00197D1E" w:rsidRDefault="00197D1E" w:rsidP="00197D1E">
      <w:pPr>
        <w:jc w:val="both"/>
        <w:rPr>
          <w:rFonts w:asciiTheme="majorBidi" w:hAnsiTheme="majorBidi" w:cstheme="majorBidi"/>
        </w:rPr>
      </w:pPr>
    </w:p>
    <w:p w:rsidR="00197D1E" w:rsidRDefault="00C370B7" w:rsidP="00197D1E">
      <w:pPr>
        <w:pStyle w:val="ListParagraph"/>
        <w:numPr>
          <w:ilvl w:val="0"/>
          <w:numId w:val="8"/>
        </w:numPr>
        <w:ind w:left="709" w:hanging="283"/>
        <w:jc w:val="both"/>
        <w:rPr>
          <w:rFonts w:asciiTheme="majorBidi" w:hAnsiTheme="majorBidi" w:cstheme="majorBidi"/>
          <w:sz w:val="24"/>
          <w:szCs w:val="24"/>
        </w:rPr>
      </w:pPr>
      <w:r w:rsidRPr="00197D1E">
        <w:rPr>
          <w:rFonts w:asciiTheme="majorBidi" w:hAnsiTheme="majorBidi" w:cstheme="majorBidi"/>
          <w:sz w:val="24"/>
          <w:szCs w:val="24"/>
        </w:rPr>
        <w:t>Untuk tidak memperpanjang polemik kepengurusan YRIT dan Departemen yang mengurus masjid, maka kami meminta agar semua kegiatan yang berhubungan dengan kegiatan yang mempersoalkan hal-hal yang berhubungan dengan pengelolaan yayasan tersebut diteletakkan pada koridor yang sesuai dengan aturannya seperti yang tertera dalam akta pendiriam YRIT, yang apabila ada keinginan untuk merobahnya agar dilakukan dengan melakukan usulan perubahan AD sesuai dengan aturan yang berlaku.</w:t>
      </w:r>
    </w:p>
    <w:sectPr w:rsidR="00197D1E" w:rsidSect="00197D1E">
      <w:pgSz w:w="11907" w:h="16840" w:code="9"/>
      <w:pgMar w:top="1276" w:right="1134" w:bottom="1560" w:left="85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60E8C"/>
    <w:multiLevelType w:val="hybridMultilevel"/>
    <w:tmpl w:val="183AF1CA"/>
    <w:lvl w:ilvl="0" w:tplc="ECBC8C1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7847440"/>
    <w:multiLevelType w:val="hybridMultilevel"/>
    <w:tmpl w:val="BE0E9018"/>
    <w:lvl w:ilvl="0" w:tplc="2EEC6B96">
      <w:start w:val="1"/>
      <w:numFmt w:val="bullet"/>
      <w:lvlText w:val="-"/>
      <w:lvlJc w:val="left"/>
      <w:pPr>
        <w:ind w:left="927" w:hanging="360"/>
      </w:pPr>
      <w:rPr>
        <w:rFonts w:ascii="Times New Roman" w:eastAsia="Times New Roman" w:hAnsi="Times New Roman" w:cs="Times New Roman" w:hint="default"/>
      </w:rPr>
    </w:lvl>
    <w:lvl w:ilvl="1" w:tplc="04210003" w:tentative="1">
      <w:start w:val="1"/>
      <w:numFmt w:val="bullet"/>
      <w:lvlText w:val="o"/>
      <w:lvlJc w:val="left"/>
      <w:pPr>
        <w:ind w:left="1647" w:hanging="360"/>
      </w:pPr>
      <w:rPr>
        <w:rFonts w:ascii="Courier New" w:hAnsi="Courier New" w:cs="Courier New" w:hint="default"/>
      </w:rPr>
    </w:lvl>
    <w:lvl w:ilvl="2" w:tplc="04210005" w:tentative="1">
      <w:start w:val="1"/>
      <w:numFmt w:val="bullet"/>
      <w:lvlText w:val=""/>
      <w:lvlJc w:val="left"/>
      <w:pPr>
        <w:ind w:left="2367" w:hanging="360"/>
      </w:pPr>
      <w:rPr>
        <w:rFonts w:ascii="Wingdings" w:hAnsi="Wingdings" w:hint="default"/>
      </w:rPr>
    </w:lvl>
    <w:lvl w:ilvl="3" w:tplc="04210001" w:tentative="1">
      <w:start w:val="1"/>
      <w:numFmt w:val="bullet"/>
      <w:lvlText w:val=""/>
      <w:lvlJc w:val="left"/>
      <w:pPr>
        <w:ind w:left="3087" w:hanging="360"/>
      </w:pPr>
      <w:rPr>
        <w:rFonts w:ascii="Symbol" w:hAnsi="Symbol" w:hint="default"/>
      </w:rPr>
    </w:lvl>
    <w:lvl w:ilvl="4" w:tplc="04210003" w:tentative="1">
      <w:start w:val="1"/>
      <w:numFmt w:val="bullet"/>
      <w:lvlText w:val="o"/>
      <w:lvlJc w:val="left"/>
      <w:pPr>
        <w:ind w:left="3807" w:hanging="360"/>
      </w:pPr>
      <w:rPr>
        <w:rFonts w:ascii="Courier New" w:hAnsi="Courier New" w:cs="Courier New" w:hint="default"/>
      </w:rPr>
    </w:lvl>
    <w:lvl w:ilvl="5" w:tplc="04210005" w:tentative="1">
      <w:start w:val="1"/>
      <w:numFmt w:val="bullet"/>
      <w:lvlText w:val=""/>
      <w:lvlJc w:val="left"/>
      <w:pPr>
        <w:ind w:left="4527" w:hanging="360"/>
      </w:pPr>
      <w:rPr>
        <w:rFonts w:ascii="Wingdings" w:hAnsi="Wingdings" w:hint="default"/>
      </w:rPr>
    </w:lvl>
    <w:lvl w:ilvl="6" w:tplc="04210001" w:tentative="1">
      <w:start w:val="1"/>
      <w:numFmt w:val="bullet"/>
      <w:lvlText w:val=""/>
      <w:lvlJc w:val="left"/>
      <w:pPr>
        <w:ind w:left="5247" w:hanging="360"/>
      </w:pPr>
      <w:rPr>
        <w:rFonts w:ascii="Symbol" w:hAnsi="Symbol" w:hint="default"/>
      </w:rPr>
    </w:lvl>
    <w:lvl w:ilvl="7" w:tplc="04210003" w:tentative="1">
      <w:start w:val="1"/>
      <w:numFmt w:val="bullet"/>
      <w:lvlText w:val="o"/>
      <w:lvlJc w:val="left"/>
      <w:pPr>
        <w:ind w:left="5967" w:hanging="360"/>
      </w:pPr>
      <w:rPr>
        <w:rFonts w:ascii="Courier New" w:hAnsi="Courier New" w:cs="Courier New" w:hint="default"/>
      </w:rPr>
    </w:lvl>
    <w:lvl w:ilvl="8" w:tplc="04210005" w:tentative="1">
      <w:start w:val="1"/>
      <w:numFmt w:val="bullet"/>
      <w:lvlText w:val=""/>
      <w:lvlJc w:val="left"/>
      <w:pPr>
        <w:ind w:left="6687" w:hanging="360"/>
      </w:pPr>
      <w:rPr>
        <w:rFonts w:ascii="Wingdings" w:hAnsi="Wingdings" w:hint="default"/>
      </w:rPr>
    </w:lvl>
  </w:abstractNum>
  <w:abstractNum w:abstractNumId="2">
    <w:nsid w:val="1E060CBD"/>
    <w:multiLevelType w:val="hybridMultilevel"/>
    <w:tmpl w:val="A1ACD512"/>
    <w:lvl w:ilvl="0" w:tplc="A5367764">
      <w:start w:val="2"/>
      <w:numFmt w:val="lowerLetter"/>
      <w:lvlText w:val="%1."/>
      <w:lvlJc w:val="left"/>
      <w:pPr>
        <w:tabs>
          <w:tab w:val="num" w:pos="2190"/>
        </w:tabs>
        <w:ind w:left="2190" w:hanging="360"/>
      </w:pPr>
      <w:rPr>
        <w:rFonts w:hint="default"/>
      </w:rPr>
    </w:lvl>
    <w:lvl w:ilvl="1" w:tplc="04090019" w:tentative="1">
      <w:start w:val="1"/>
      <w:numFmt w:val="lowerLetter"/>
      <w:lvlText w:val="%2."/>
      <w:lvlJc w:val="left"/>
      <w:pPr>
        <w:tabs>
          <w:tab w:val="num" w:pos="2910"/>
        </w:tabs>
        <w:ind w:left="2910" w:hanging="360"/>
      </w:pPr>
    </w:lvl>
    <w:lvl w:ilvl="2" w:tplc="0409001B" w:tentative="1">
      <w:start w:val="1"/>
      <w:numFmt w:val="lowerRoman"/>
      <w:lvlText w:val="%3."/>
      <w:lvlJc w:val="right"/>
      <w:pPr>
        <w:tabs>
          <w:tab w:val="num" w:pos="3630"/>
        </w:tabs>
        <w:ind w:left="3630" w:hanging="180"/>
      </w:pPr>
    </w:lvl>
    <w:lvl w:ilvl="3" w:tplc="0409000F" w:tentative="1">
      <w:start w:val="1"/>
      <w:numFmt w:val="decimal"/>
      <w:lvlText w:val="%4."/>
      <w:lvlJc w:val="left"/>
      <w:pPr>
        <w:tabs>
          <w:tab w:val="num" w:pos="4350"/>
        </w:tabs>
        <w:ind w:left="4350" w:hanging="360"/>
      </w:pPr>
    </w:lvl>
    <w:lvl w:ilvl="4" w:tplc="04090019" w:tentative="1">
      <w:start w:val="1"/>
      <w:numFmt w:val="lowerLetter"/>
      <w:lvlText w:val="%5."/>
      <w:lvlJc w:val="left"/>
      <w:pPr>
        <w:tabs>
          <w:tab w:val="num" w:pos="5070"/>
        </w:tabs>
        <w:ind w:left="5070" w:hanging="360"/>
      </w:pPr>
    </w:lvl>
    <w:lvl w:ilvl="5" w:tplc="0409001B" w:tentative="1">
      <w:start w:val="1"/>
      <w:numFmt w:val="lowerRoman"/>
      <w:lvlText w:val="%6."/>
      <w:lvlJc w:val="right"/>
      <w:pPr>
        <w:tabs>
          <w:tab w:val="num" w:pos="5790"/>
        </w:tabs>
        <w:ind w:left="5790" w:hanging="180"/>
      </w:pPr>
    </w:lvl>
    <w:lvl w:ilvl="6" w:tplc="0409000F" w:tentative="1">
      <w:start w:val="1"/>
      <w:numFmt w:val="decimal"/>
      <w:lvlText w:val="%7."/>
      <w:lvlJc w:val="left"/>
      <w:pPr>
        <w:tabs>
          <w:tab w:val="num" w:pos="6510"/>
        </w:tabs>
        <w:ind w:left="6510" w:hanging="360"/>
      </w:pPr>
    </w:lvl>
    <w:lvl w:ilvl="7" w:tplc="04090019" w:tentative="1">
      <w:start w:val="1"/>
      <w:numFmt w:val="lowerLetter"/>
      <w:lvlText w:val="%8."/>
      <w:lvlJc w:val="left"/>
      <w:pPr>
        <w:tabs>
          <w:tab w:val="num" w:pos="7230"/>
        </w:tabs>
        <w:ind w:left="7230" w:hanging="360"/>
      </w:pPr>
    </w:lvl>
    <w:lvl w:ilvl="8" w:tplc="0409001B" w:tentative="1">
      <w:start w:val="1"/>
      <w:numFmt w:val="lowerRoman"/>
      <w:lvlText w:val="%9."/>
      <w:lvlJc w:val="right"/>
      <w:pPr>
        <w:tabs>
          <w:tab w:val="num" w:pos="7950"/>
        </w:tabs>
        <w:ind w:left="7950" w:hanging="180"/>
      </w:pPr>
    </w:lvl>
  </w:abstractNum>
  <w:abstractNum w:abstractNumId="3">
    <w:nsid w:val="2AA655ED"/>
    <w:multiLevelType w:val="hybridMultilevel"/>
    <w:tmpl w:val="3C980A78"/>
    <w:lvl w:ilvl="0" w:tplc="4DB224C6">
      <w:start w:val="2"/>
      <w:numFmt w:val="decimal"/>
      <w:lvlText w:val="%1."/>
      <w:lvlJc w:val="left"/>
      <w:pPr>
        <w:tabs>
          <w:tab w:val="num" w:pos="2190"/>
        </w:tabs>
        <w:ind w:left="2190" w:hanging="360"/>
      </w:pPr>
      <w:rPr>
        <w:rFonts w:hint="default"/>
      </w:rPr>
    </w:lvl>
    <w:lvl w:ilvl="1" w:tplc="04090019" w:tentative="1">
      <w:start w:val="1"/>
      <w:numFmt w:val="lowerLetter"/>
      <w:lvlText w:val="%2."/>
      <w:lvlJc w:val="left"/>
      <w:pPr>
        <w:tabs>
          <w:tab w:val="num" w:pos="2910"/>
        </w:tabs>
        <w:ind w:left="2910" w:hanging="360"/>
      </w:pPr>
    </w:lvl>
    <w:lvl w:ilvl="2" w:tplc="0409001B" w:tentative="1">
      <w:start w:val="1"/>
      <w:numFmt w:val="lowerRoman"/>
      <w:lvlText w:val="%3."/>
      <w:lvlJc w:val="right"/>
      <w:pPr>
        <w:tabs>
          <w:tab w:val="num" w:pos="3630"/>
        </w:tabs>
        <w:ind w:left="3630" w:hanging="180"/>
      </w:pPr>
    </w:lvl>
    <w:lvl w:ilvl="3" w:tplc="0409000F" w:tentative="1">
      <w:start w:val="1"/>
      <w:numFmt w:val="decimal"/>
      <w:lvlText w:val="%4."/>
      <w:lvlJc w:val="left"/>
      <w:pPr>
        <w:tabs>
          <w:tab w:val="num" w:pos="4350"/>
        </w:tabs>
        <w:ind w:left="4350" w:hanging="360"/>
      </w:pPr>
    </w:lvl>
    <w:lvl w:ilvl="4" w:tplc="04090019" w:tentative="1">
      <w:start w:val="1"/>
      <w:numFmt w:val="lowerLetter"/>
      <w:lvlText w:val="%5."/>
      <w:lvlJc w:val="left"/>
      <w:pPr>
        <w:tabs>
          <w:tab w:val="num" w:pos="5070"/>
        </w:tabs>
        <w:ind w:left="5070" w:hanging="360"/>
      </w:pPr>
    </w:lvl>
    <w:lvl w:ilvl="5" w:tplc="0409001B" w:tentative="1">
      <w:start w:val="1"/>
      <w:numFmt w:val="lowerRoman"/>
      <w:lvlText w:val="%6."/>
      <w:lvlJc w:val="right"/>
      <w:pPr>
        <w:tabs>
          <w:tab w:val="num" w:pos="5790"/>
        </w:tabs>
        <w:ind w:left="5790" w:hanging="180"/>
      </w:pPr>
    </w:lvl>
    <w:lvl w:ilvl="6" w:tplc="0409000F" w:tentative="1">
      <w:start w:val="1"/>
      <w:numFmt w:val="decimal"/>
      <w:lvlText w:val="%7."/>
      <w:lvlJc w:val="left"/>
      <w:pPr>
        <w:tabs>
          <w:tab w:val="num" w:pos="6510"/>
        </w:tabs>
        <w:ind w:left="6510" w:hanging="360"/>
      </w:pPr>
    </w:lvl>
    <w:lvl w:ilvl="7" w:tplc="04090019" w:tentative="1">
      <w:start w:val="1"/>
      <w:numFmt w:val="lowerLetter"/>
      <w:lvlText w:val="%8."/>
      <w:lvlJc w:val="left"/>
      <w:pPr>
        <w:tabs>
          <w:tab w:val="num" w:pos="7230"/>
        </w:tabs>
        <w:ind w:left="7230" w:hanging="360"/>
      </w:pPr>
    </w:lvl>
    <w:lvl w:ilvl="8" w:tplc="0409001B" w:tentative="1">
      <w:start w:val="1"/>
      <w:numFmt w:val="lowerRoman"/>
      <w:lvlText w:val="%9."/>
      <w:lvlJc w:val="right"/>
      <w:pPr>
        <w:tabs>
          <w:tab w:val="num" w:pos="7950"/>
        </w:tabs>
        <w:ind w:left="7950" w:hanging="180"/>
      </w:pPr>
    </w:lvl>
  </w:abstractNum>
  <w:abstractNum w:abstractNumId="4">
    <w:nsid w:val="3127594D"/>
    <w:multiLevelType w:val="hybridMultilevel"/>
    <w:tmpl w:val="3CE21D44"/>
    <w:lvl w:ilvl="0" w:tplc="E536D756">
      <w:start w:val="2"/>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32A40976"/>
    <w:multiLevelType w:val="hybridMultilevel"/>
    <w:tmpl w:val="224E619C"/>
    <w:lvl w:ilvl="0" w:tplc="D56C2808">
      <w:start w:val="1"/>
      <w:numFmt w:val="bullet"/>
      <w:lvlText w:val="-"/>
      <w:lvlJc w:val="left"/>
      <w:pPr>
        <w:ind w:left="1287" w:hanging="360"/>
      </w:pPr>
      <w:rPr>
        <w:rFonts w:ascii="Times New Roman" w:eastAsia="Times New Roman" w:hAnsi="Times New Roman" w:cs="Times New Roman"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6">
    <w:nsid w:val="3DFA6CBB"/>
    <w:multiLevelType w:val="hybridMultilevel"/>
    <w:tmpl w:val="40C082E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09967D6"/>
    <w:multiLevelType w:val="hybridMultilevel"/>
    <w:tmpl w:val="61382144"/>
    <w:lvl w:ilvl="0" w:tplc="5AFCDDF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0"/>
  </w:num>
  <w:num w:numId="2">
    <w:abstractNumId w:val="2"/>
  </w:num>
  <w:num w:numId="3">
    <w:abstractNumId w:val="3"/>
  </w:num>
  <w:num w:numId="4">
    <w:abstractNumId w:val="7"/>
  </w:num>
  <w:num w:numId="5">
    <w:abstractNumId w:val="1"/>
  </w:num>
  <w:num w:numId="6">
    <w:abstractNumId w:val="5"/>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compat/>
  <w:rsids>
    <w:rsidRoot w:val="00EE6931"/>
    <w:rsid w:val="000425B3"/>
    <w:rsid w:val="000953D6"/>
    <w:rsid w:val="000D73F3"/>
    <w:rsid w:val="00196A57"/>
    <w:rsid w:val="00197D1E"/>
    <w:rsid w:val="001B12C9"/>
    <w:rsid w:val="001C0FE8"/>
    <w:rsid w:val="001D1D64"/>
    <w:rsid w:val="002010BC"/>
    <w:rsid w:val="00227FD8"/>
    <w:rsid w:val="00250122"/>
    <w:rsid w:val="00296712"/>
    <w:rsid w:val="002F555C"/>
    <w:rsid w:val="00312F09"/>
    <w:rsid w:val="003668B6"/>
    <w:rsid w:val="0038113A"/>
    <w:rsid w:val="003912E9"/>
    <w:rsid w:val="003D3969"/>
    <w:rsid w:val="0042264A"/>
    <w:rsid w:val="0044186B"/>
    <w:rsid w:val="004A55AC"/>
    <w:rsid w:val="004C51B0"/>
    <w:rsid w:val="004F0EB4"/>
    <w:rsid w:val="004F1782"/>
    <w:rsid w:val="00504483"/>
    <w:rsid w:val="005174B3"/>
    <w:rsid w:val="00520348"/>
    <w:rsid w:val="00534644"/>
    <w:rsid w:val="005653AD"/>
    <w:rsid w:val="005E4642"/>
    <w:rsid w:val="005E4EC2"/>
    <w:rsid w:val="00603C05"/>
    <w:rsid w:val="00617198"/>
    <w:rsid w:val="00692423"/>
    <w:rsid w:val="006A3985"/>
    <w:rsid w:val="006F408B"/>
    <w:rsid w:val="00771F56"/>
    <w:rsid w:val="007D3045"/>
    <w:rsid w:val="007E502A"/>
    <w:rsid w:val="007E63A4"/>
    <w:rsid w:val="008137FB"/>
    <w:rsid w:val="008241D1"/>
    <w:rsid w:val="00825430"/>
    <w:rsid w:val="00841465"/>
    <w:rsid w:val="00875385"/>
    <w:rsid w:val="008805CD"/>
    <w:rsid w:val="008B0CE8"/>
    <w:rsid w:val="008B0EBE"/>
    <w:rsid w:val="008D05A4"/>
    <w:rsid w:val="0092589E"/>
    <w:rsid w:val="0095137B"/>
    <w:rsid w:val="00954012"/>
    <w:rsid w:val="0099111E"/>
    <w:rsid w:val="009E5A1D"/>
    <w:rsid w:val="00A62B30"/>
    <w:rsid w:val="00A975EB"/>
    <w:rsid w:val="00AC6766"/>
    <w:rsid w:val="00AD3AD9"/>
    <w:rsid w:val="00AD7FC0"/>
    <w:rsid w:val="00B16ED4"/>
    <w:rsid w:val="00B17D38"/>
    <w:rsid w:val="00B5106D"/>
    <w:rsid w:val="00B70447"/>
    <w:rsid w:val="00B849BE"/>
    <w:rsid w:val="00B87E11"/>
    <w:rsid w:val="00BB744E"/>
    <w:rsid w:val="00C04BF1"/>
    <w:rsid w:val="00C13541"/>
    <w:rsid w:val="00C15A04"/>
    <w:rsid w:val="00C370B7"/>
    <w:rsid w:val="00C9646F"/>
    <w:rsid w:val="00D034D8"/>
    <w:rsid w:val="00D71181"/>
    <w:rsid w:val="00DA7F6B"/>
    <w:rsid w:val="00DB0D5A"/>
    <w:rsid w:val="00DC4081"/>
    <w:rsid w:val="00EB2ACE"/>
    <w:rsid w:val="00EE6931"/>
    <w:rsid w:val="00F340C1"/>
    <w:rsid w:val="00F9297A"/>
    <w:rsid w:val="00FB0694"/>
    <w:rsid w:val="00FB0B51"/>
    <w:rsid w:val="00FC68B8"/>
    <w:rsid w:val="00FD2D84"/>
    <w:rsid w:val="00FF467F"/>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colormenu v:ext="edit" strokecolor="lim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55C"/>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15A04"/>
    <w:pPr>
      <w:ind w:left="720"/>
    </w:pPr>
  </w:style>
  <w:style w:type="character" w:customStyle="1" w:styleId="BodyTextIndentChar">
    <w:name w:val="Body Text Indent Char"/>
    <w:basedOn w:val="DefaultParagraphFont"/>
    <w:link w:val="BodyTextIndent"/>
    <w:rsid w:val="00C15A04"/>
    <w:rPr>
      <w:sz w:val="24"/>
      <w:szCs w:val="24"/>
      <w:lang w:val="id-ID"/>
    </w:rPr>
  </w:style>
  <w:style w:type="paragraph" w:styleId="BalloonText">
    <w:name w:val="Balloon Text"/>
    <w:basedOn w:val="Normal"/>
    <w:link w:val="BalloonTextChar"/>
    <w:uiPriority w:val="99"/>
    <w:semiHidden/>
    <w:unhideWhenUsed/>
    <w:rsid w:val="00DB0D5A"/>
    <w:rPr>
      <w:rFonts w:ascii="Tahoma" w:hAnsi="Tahoma" w:cs="Tahoma"/>
      <w:sz w:val="16"/>
      <w:szCs w:val="16"/>
    </w:rPr>
  </w:style>
  <w:style w:type="character" w:customStyle="1" w:styleId="BalloonTextChar">
    <w:name w:val="Balloon Text Char"/>
    <w:basedOn w:val="DefaultParagraphFont"/>
    <w:link w:val="BalloonText"/>
    <w:uiPriority w:val="99"/>
    <w:semiHidden/>
    <w:rsid w:val="00DB0D5A"/>
    <w:rPr>
      <w:rFonts w:ascii="Tahoma" w:hAnsi="Tahoma" w:cs="Tahoma"/>
      <w:sz w:val="16"/>
      <w:szCs w:val="16"/>
      <w:lang w:val="id-ID"/>
    </w:rPr>
  </w:style>
  <w:style w:type="paragraph" w:styleId="ListParagraph">
    <w:name w:val="List Paragraph"/>
    <w:basedOn w:val="Normal"/>
    <w:uiPriority w:val="34"/>
    <w:qFormat/>
    <w:rsid w:val="00C370B7"/>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A7822-E4B6-4A06-AD4B-E5A8C424C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396</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ELEKTRONIKA</Company>
  <LinksUpToDate>false</LinksUpToDate>
  <CharactersWithSpaces>2652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SALIRUDDIN</dc:creator>
  <cp:lastModifiedBy>VAIO</cp:lastModifiedBy>
  <cp:revision>4</cp:revision>
  <cp:lastPrinted>2010-12-01T09:01:00Z</cp:lastPrinted>
  <dcterms:created xsi:type="dcterms:W3CDTF">2010-12-12T17:02:00Z</dcterms:created>
  <dcterms:modified xsi:type="dcterms:W3CDTF">2010-12-12T17:26:00Z</dcterms:modified>
</cp:coreProperties>
</file>