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E6" w:rsidRDefault="00981BE6" w:rsidP="00981BE6">
      <w:pPr>
        <w:kinsoku w:val="0"/>
        <w:overflowPunct w:val="0"/>
        <w:autoSpaceDE/>
        <w:autoSpaceDN/>
        <w:adjustRightInd/>
        <w:textAlignment w:val="baseline"/>
        <w:rPr>
          <w:sz w:val="24"/>
          <w:szCs w:val="24"/>
        </w:rPr>
      </w:pPr>
    </w:p>
    <w:p w:rsidR="00981BE6" w:rsidRDefault="00981BE6" w:rsidP="00E43B20">
      <w:pPr>
        <w:shd w:val="solid" w:color="9ED6F2" w:fill="auto"/>
        <w:kinsoku w:val="0"/>
        <w:overflowPunct w:val="0"/>
        <w:autoSpaceDE/>
        <w:autoSpaceDN/>
        <w:adjustRightInd/>
        <w:spacing w:after="105" w:line="258" w:lineRule="exact"/>
        <w:ind w:left="216"/>
        <w:jc w:val="center"/>
        <w:textAlignment w:val="baseline"/>
        <w:rPr>
          <w:rFonts w:ascii="Cambria" w:hAnsi="Cambria" w:cs="Cambria"/>
          <w:color w:val="030503"/>
          <w:spacing w:val="61"/>
          <w:sz w:val="24"/>
          <w:szCs w:val="24"/>
        </w:rPr>
      </w:pPr>
      <w:r>
        <w:rPr>
          <w:noProof/>
        </w:rPr>
        <mc:AlternateContent>
          <mc:Choice Requires="wps">
            <w:drawing>
              <wp:anchor distT="0" distB="0" distL="0" distR="0" simplePos="0" relativeHeight="251656704" behindDoc="0" locked="0" layoutInCell="0" allowOverlap="1">
                <wp:simplePos x="0" y="0"/>
                <wp:positionH relativeFrom="page">
                  <wp:posOffset>4867910</wp:posOffset>
                </wp:positionH>
                <wp:positionV relativeFrom="page">
                  <wp:posOffset>725170</wp:posOffset>
                </wp:positionV>
                <wp:extent cx="1969135" cy="0"/>
                <wp:effectExtent l="10160" t="10795" r="11430" b="8255"/>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12065">
                          <a:solidFill>
                            <a:srgbClr val="03050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3A36" id="Straight Connector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83.3pt,57.1pt" to="538.3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G2HgIAADcEAAAOAAAAZHJzL2Uyb0RvYy54bWysU02P2yAQvVfqf0Dcs7bz1cSKs6rspJdt&#10;GynbH0AA26gYEJA4UdX/3oHE0aa9VFUveICZ5zdvHqvncyfRiVsntCpw9pRixBXVTKimwN9et6MF&#10;Rs4TxYjUihf4wh1+Xr9/t+pNzse61ZJxiwBEubw3BW69N3mSONryjrgnbbiCy1rbjnjY2iZhlvSA&#10;3slknKbzpNeWGaspdw5Oq+slXkf8uubUf61rxz2SBQZuPq42roewJusVyRtLTCvojQb5BxYdEQp+&#10;eoeqiCfoaMUfUJ2gVjtd+yequ0TXtaA89gDdZOlv3exbYnjsBcRx5i6T+3+w9MtpZ5FgBZ5gpEgH&#10;I9p7S0TTelRqpUBAbdEk6NQbl0N6qXY2dErPam9eNP3ukNJlS1TDI9/XiwGQLFQkDyVh4wz87dB/&#10;1gxyyNHrKNq5tl2ABDnQOc7mcp8NP3tE4TBbzpfZZIYRHe4Skg+Fxjr/iesOhaDAUqggG8nJ6cX5&#10;QITkQ0o4VnorpIyjlwr1AD5O57NY4bQULNyGPGebQyktOpHgnkk6S6MQgPaQZvVRsYjWcsI2t9gT&#10;Ia8x5EsV8KAX4HOLrvb4sUyXm8VmMR1Nx/PNaJpW1ejjtpyO5tvsw6yaVGVZZT8DtWyat4IxrgK7&#10;warZ9O+scHs0V5PdzXrXIXlEj4IB2eEbScdhhvldnXDQ7LKzw5DBnTH59pKC/d/uIX773te/AAAA&#10;//8DAFBLAwQUAAYACAAAACEAYmI9YeEAAAAMAQAADwAAAGRycy9kb3ducmV2LnhtbEyPwU7DMAyG&#10;70h7h8hIXBBL1qEUlabThIR2gMPYOIxb1pi2rHGqJusKT08mIY2j/X/6/TlfjLZlA/a+caRgNhXA&#10;kEpnGqoUvG+f7x6A+aDJ6NYRKvhGD4ticpXrzLgTveGwCRWLJeQzraAOocs492WNVvup65Bi9ul6&#10;q0Mc+4qbXp9iuW15IoTkVjcUL9S6w6cay8PmaBXMd8lS7L7m65fV2lSvtyv8GT5QqZvrcfkILOAY&#10;LjCc9aM6FNFp745kPGsVpFLKiMZgdp8AOxMilSmw/d+KFzn//0TxCwAA//8DAFBLAQItABQABgAI&#10;AAAAIQC2gziS/gAAAOEBAAATAAAAAAAAAAAAAAAAAAAAAABbQ29udGVudF9UeXBlc10ueG1sUEsB&#10;Ai0AFAAGAAgAAAAhADj9If/WAAAAlAEAAAsAAAAAAAAAAAAAAAAALwEAAF9yZWxzLy5yZWxzUEsB&#10;Ai0AFAAGAAgAAAAhAOJ6gbYeAgAANwQAAA4AAAAAAAAAAAAAAAAALgIAAGRycy9lMm9Eb2MueG1s&#10;UEsBAi0AFAAGAAgAAAAhAGJiPWHhAAAADAEAAA8AAAAAAAAAAAAAAAAAeAQAAGRycy9kb3ducmV2&#10;LnhtbFBLBQYAAAAABAAEAPMAAACGBQAAAAA=&#10;" o:allowincell="f" strokecolor="#030503" strokeweight=".95pt">
                <w10:wrap type="square" anchorx="page" anchory="page"/>
              </v:line>
            </w:pict>
          </mc:Fallback>
        </mc:AlternateContent>
      </w:r>
      <w:r>
        <w:rPr>
          <w:noProof/>
        </w:rPr>
        <mc:AlternateContent>
          <mc:Choice Requires="wps">
            <w:drawing>
              <wp:anchor distT="0" distB="0" distL="0" distR="0" simplePos="0" relativeHeight="251657728" behindDoc="0" locked="0" layoutInCell="0" allowOverlap="1">
                <wp:simplePos x="0" y="0"/>
                <wp:positionH relativeFrom="page">
                  <wp:posOffset>539750</wp:posOffset>
                </wp:positionH>
                <wp:positionV relativeFrom="page">
                  <wp:posOffset>725170</wp:posOffset>
                </wp:positionV>
                <wp:extent cx="1978660" cy="0"/>
                <wp:effectExtent l="6350" t="10795" r="15240" b="825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line">
                          <a:avLst/>
                        </a:prstGeom>
                        <a:noFill/>
                        <a:ln w="12065">
                          <a:solidFill>
                            <a:srgbClr val="03050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11188" id="Straight Connector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5pt,57.1pt" to="198.3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MMIAIAADcEAAAOAAAAZHJzL2Uyb0RvYy54bWysU9uO2yAQfa/Uf0B+T3yJk02sOKvKTvqy&#10;7UbK9gMIYBsVAwISJ6r67x3IRdn2par6Yg/McDhz5rB8PvUCHZmxXMkySsdJhJgkinLZltG3t81o&#10;HiHrsKRYKMnK6Mxs9Lz6+GE56IJlqlOCMoMARNpi0GXUOaeLOLakYz22Y6WZhGSjTI8dLE0bU4MH&#10;QO9FnCXJLB6UodoowqyF3fqSjFYBv2kYca9NY5lDooyAmwtfE757/41XS1y0BuuOkysN/A8seswl&#10;XHqHqrHD6GD4H1A9J0ZZ1bgxUX2smoYTFnqAbtLkt252HdYs9ALiWH2Xyf4/WPL1uDWI0zLKIiRx&#10;DyPaOYN52zlUKSlBQGVQ5nUatC2gvJJb4zslJ7nTL4p8t0iqqsOyZYHv21kDSOpPxO+O+IXVcNt+&#10;+KIo1OCDU0G0U2N6DwlyoFOYzfk+G3ZyiMBmuniaz2YwQnLLxbi4HdTGus9M9cgHZSS49LLhAh9f&#10;rPNEcHEr8dtSbbgQYfRCogHAs2Q2DSesEpz6rK+zpt1XwqAj9u6ZJNNkEtqCzGOZUQdJA1rHMF1f&#10;Y4e5uMRwu5AeD3oBPtfoYo8fi2Sxnq/n+SjPZutRntT16NOmykezTfo0rSd1VdXpT08tzYuOU8qk&#10;Z3ezapr/nRWuj+ZisrtZ7zrE79GDYED29g+kwzD9/C5O2Ct63prbkMGdofj6krz9H9cQP7731S8A&#10;AAD//wMAUEsDBBQABgAIAAAAIQDP50CJ4QAAAAoBAAAPAAAAZHJzL2Rvd25yZXYueG1sTI9BS8NA&#10;EIXvgv9hGaEXsZsmGmrMphSh9FAPtXqot212TKLZ2ZDdpqm/3hEEPc6bx3vfyxejbcWAvW8cKZhN&#10;IxBIpTMNVQpeX1Y3cxA+aDK6dYQKzuhhUVxe5Doz7kTPOOxCJTiEfKYV1CF0mZS+rNFqP3UdEv/e&#10;XW914LOvpOn1icNtK+MoSqXVDXFDrTt8rLH83B2tgmQfL6P9R7LdrLemerpe49fwhkpNrsblA4iA&#10;Y/gzww8+o0PBTAd3JONFq2B+x1MC67PbGAQbkvs0BXH4VWSRy/8Tim8AAAD//wMAUEsBAi0AFAAG&#10;AAgAAAAhALaDOJL+AAAA4QEAABMAAAAAAAAAAAAAAAAAAAAAAFtDb250ZW50X1R5cGVzXS54bWxQ&#10;SwECLQAUAAYACAAAACEAOP0h/9YAAACUAQAACwAAAAAAAAAAAAAAAAAvAQAAX3JlbHMvLnJlbHNQ&#10;SwECLQAUAAYACAAAACEAZKvDDCACAAA3BAAADgAAAAAAAAAAAAAAAAAuAgAAZHJzL2Uyb0RvYy54&#10;bWxQSwECLQAUAAYACAAAACEAz+dAieEAAAAKAQAADwAAAAAAAAAAAAAAAAB6BAAAZHJzL2Rvd25y&#10;ZXYueG1sUEsFBgAAAAAEAAQA8wAAAIgFAAAAAA==&#10;" o:allowincell="f" strokecolor="#030503" strokeweight=".95pt">
                <w10:wrap type="square" anchorx="page" anchory="page"/>
              </v:line>
            </w:pict>
          </mc:Fallback>
        </mc:AlternateContent>
      </w:r>
      <w:r>
        <w:rPr>
          <w:rFonts w:ascii="Cambria" w:hAnsi="Cambria" w:cs="Cambria"/>
          <w:color w:val="030503"/>
          <w:spacing w:val="61"/>
          <w:sz w:val="24"/>
          <w:szCs w:val="24"/>
        </w:rPr>
        <w:t>RESEARCH ARTICLE</w:t>
      </w:r>
    </w:p>
    <w:p w:rsidR="00981BE6" w:rsidRDefault="00981BE6" w:rsidP="00981BE6">
      <w:pPr>
        <w:widowControl/>
        <w:rPr>
          <w:sz w:val="24"/>
          <w:szCs w:val="24"/>
        </w:rPr>
        <w:sectPr w:rsidR="00981BE6">
          <w:pgSz w:w="11909" w:h="15874"/>
          <w:pgMar w:top="677" w:right="4243" w:bottom="584" w:left="3965" w:header="720" w:footer="720" w:gutter="0"/>
          <w:cols w:space="720"/>
          <w:noEndnote/>
        </w:sectPr>
      </w:pPr>
    </w:p>
    <w:p w:rsidR="00981BE6" w:rsidRDefault="00981BE6" w:rsidP="00981BE6">
      <w:pPr>
        <w:kinsoku w:val="0"/>
        <w:overflowPunct w:val="0"/>
        <w:autoSpaceDE/>
        <w:autoSpaceDN/>
        <w:adjustRightInd/>
        <w:spacing w:before="85" w:line="288" w:lineRule="exact"/>
        <w:textAlignment w:val="baseline"/>
        <w:rPr>
          <w:sz w:val="24"/>
          <w:szCs w:val="24"/>
        </w:rPr>
      </w:pPr>
    </w:p>
    <w:p w:rsidR="00981BE6" w:rsidRDefault="00981BE6" w:rsidP="00981BE6">
      <w:pPr>
        <w:kinsoku w:val="0"/>
        <w:overflowPunct w:val="0"/>
        <w:autoSpaceDE/>
        <w:autoSpaceDN/>
        <w:adjustRightInd/>
        <w:spacing w:before="85" w:line="288" w:lineRule="exact"/>
        <w:textAlignment w:val="baseline"/>
        <w:rPr>
          <w:sz w:val="24"/>
          <w:szCs w:val="24"/>
        </w:rPr>
        <w:sectPr w:rsidR="00981BE6">
          <w:type w:val="continuous"/>
          <w:pgSz w:w="11909" w:h="15874"/>
          <w:pgMar w:top="677" w:right="1119" w:bottom="584" w:left="755" w:header="720" w:footer="720" w:gutter="0"/>
          <w:cols w:space="720"/>
          <w:noEndnote/>
        </w:sectPr>
      </w:pPr>
    </w:p>
    <w:p w:rsidR="00D23F62" w:rsidRPr="00630CB4" w:rsidRDefault="00C60352" w:rsidP="00D23F62">
      <w:pPr>
        <w:jc w:val="center"/>
        <w:rPr>
          <w:b/>
          <w:sz w:val="30"/>
        </w:rPr>
      </w:pPr>
      <w:r>
        <w:rPr>
          <w:b/>
          <w:sz w:val="30"/>
        </w:rPr>
        <w:lastRenderedPageBreak/>
        <w:t>Prediksi kasus Tuberculosis</w:t>
      </w:r>
      <w:r w:rsidRPr="00630CB4">
        <w:rPr>
          <w:b/>
          <w:sz w:val="30"/>
        </w:rPr>
        <w:t xml:space="preserve"> </w:t>
      </w:r>
      <w:r>
        <w:rPr>
          <w:b/>
          <w:sz w:val="30"/>
        </w:rPr>
        <w:t xml:space="preserve">Menggunakan Machine Learning Python dan </w:t>
      </w:r>
      <w:r w:rsidR="00D23F62">
        <w:rPr>
          <w:b/>
          <w:sz w:val="30"/>
        </w:rPr>
        <w:t>Algoritma Arima</w:t>
      </w:r>
      <w:r>
        <w:rPr>
          <w:b/>
          <w:sz w:val="30"/>
        </w:rPr>
        <w:t xml:space="preserve"> </w:t>
      </w:r>
    </w:p>
    <w:p w:rsidR="00E43B20" w:rsidRDefault="00E43B20" w:rsidP="00E43B20">
      <w:pPr>
        <w:kinsoku w:val="0"/>
        <w:overflowPunct w:val="0"/>
        <w:autoSpaceDE/>
        <w:autoSpaceDN/>
        <w:adjustRightInd/>
        <w:jc w:val="center"/>
        <w:textAlignment w:val="baseline"/>
        <w:rPr>
          <w:b/>
          <w:bCs/>
          <w:color w:val="030503"/>
          <w:sz w:val="28"/>
          <w:szCs w:val="28"/>
        </w:rPr>
      </w:pPr>
    </w:p>
    <w:p w:rsidR="005044C2" w:rsidRDefault="005044C2" w:rsidP="005044C2">
      <w:pPr>
        <w:kinsoku w:val="0"/>
        <w:overflowPunct w:val="0"/>
        <w:autoSpaceDE/>
        <w:autoSpaceDN/>
        <w:adjustRightInd/>
        <w:jc w:val="center"/>
        <w:textAlignment w:val="baseline"/>
        <w:rPr>
          <w:color w:val="030503"/>
          <w:spacing w:val="-4"/>
          <w:sz w:val="24"/>
          <w:szCs w:val="24"/>
          <w:vertAlign w:val="superscript"/>
        </w:rPr>
      </w:pPr>
      <w:r>
        <w:rPr>
          <w:color w:val="030503"/>
          <w:spacing w:val="-4"/>
          <w:sz w:val="24"/>
          <w:szCs w:val="24"/>
        </w:rPr>
        <w:t>Muhammad Resha</w:t>
      </w:r>
      <w:r>
        <w:rPr>
          <w:color w:val="030503"/>
          <w:spacing w:val="-4"/>
          <w:sz w:val="24"/>
          <w:szCs w:val="24"/>
          <w:vertAlign w:val="superscript"/>
        </w:rPr>
        <w:t>1</w:t>
      </w:r>
      <w:r>
        <w:rPr>
          <w:color w:val="030503"/>
          <w:spacing w:val="-4"/>
          <w:sz w:val="24"/>
          <w:szCs w:val="24"/>
        </w:rPr>
        <w:t>, Anshar Suyuti</w:t>
      </w:r>
      <w:r>
        <w:rPr>
          <w:color w:val="030503"/>
          <w:spacing w:val="-4"/>
          <w:sz w:val="24"/>
          <w:szCs w:val="24"/>
          <w:vertAlign w:val="superscript"/>
        </w:rPr>
        <w:t>2</w:t>
      </w:r>
      <w:r>
        <w:rPr>
          <w:color w:val="030503"/>
          <w:spacing w:val="-4"/>
          <w:sz w:val="24"/>
          <w:szCs w:val="24"/>
        </w:rPr>
        <w:t>, Rhiza S Sadjad</w:t>
      </w:r>
      <w:r>
        <w:rPr>
          <w:color w:val="030503"/>
          <w:spacing w:val="-4"/>
          <w:sz w:val="24"/>
          <w:szCs w:val="24"/>
          <w:vertAlign w:val="superscript"/>
        </w:rPr>
        <w:t xml:space="preserve">3, </w:t>
      </w:r>
      <w:r>
        <w:rPr>
          <w:color w:val="030503"/>
          <w:spacing w:val="-4"/>
          <w:sz w:val="24"/>
          <w:szCs w:val="24"/>
        </w:rPr>
        <w:t>Muhammad Niswar</w:t>
      </w:r>
      <w:r w:rsidRPr="00153FF4">
        <w:rPr>
          <w:color w:val="030503"/>
          <w:spacing w:val="-4"/>
          <w:sz w:val="24"/>
          <w:szCs w:val="24"/>
          <w:vertAlign w:val="superscript"/>
        </w:rPr>
        <w:t>4</w:t>
      </w:r>
    </w:p>
    <w:p w:rsidR="005044C2" w:rsidRPr="00153FF4" w:rsidRDefault="005044C2" w:rsidP="005044C2">
      <w:pPr>
        <w:kinsoku w:val="0"/>
        <w:overflowPunct w:val="0"/>
        <w:autoSpaceDE/>
        <w:autoSpaceDN/>
        <w:adjustRightInd/>
        <w:jc w:val="center"/>
        <w:textAlignment w:val="baseline"/>
        <w:rPr>
          <w:color w:val="030503"/>
          <w:spacing w:val="-4"/>
          <w:sz w:val="14"/>
          <w:szCs w:val="14"/>
        </w:rPr>
      </w:pPr>
    </w:p>
    <w:p w:rsidR="005044C2" w:rsidRDefault="005044C2" w:rsidP="005044C2">
      <w:pPr>
        <w:kinsoku w:val="0"/>
        <w:overflowPunct w:val="0"/>
        <w:autoSpaceDE/>
        <w:autoSpaceDN/>
        <w:adjustRightInd/>
        <w:jc w:val="center"/>
        <w:textAlignment w:val="baseline"/>
        <w:rPr>
          <w:color w:val="030503"/>
          <w:sz w:val="9"/>
          <w:szCs w:val="9"/>
          <w:vertAlign w:val="superscript"/>
        </w:rPr>
      </w:pPr>
      <w:r>
        <w:rPr>
          <w:color w:val="030503"/>
          <w:sz w:val="10"/>
          <w:szCs w:val="10"/>
          <w:vertAlign w:val="superscript"/>
        </w:rPr>
        <w:t>1</w:t>
      </w:r>
      <w:r>
        <w:rPr>
          <w:color w:val="030503"/>
          <w:sz w:val="16"/>
          <w:szCs w:val="16"/>
        </w:rPr>
        <w:t>Department of Digital Business, IBK Nitro, Makasxsar, Indonesia</w:t>
      </w:r>
      <w:r>
        <w:rPr>
          <w:color w:val="030503"/>
          <w:sz w:val="16"/>
          <w:szCs w:val="16"/>
        </w:rPr>
        <w:br/>
      </w:r>
      <w:r>
        <w:rPr>
          <w:color w:val="030503"/>
          <w:sz w:val="10"/>
          <w:szCs w:val="10"/>
          <w:vertAlign w:val="superscript"/>
        </w:rPr>
        <w:t xml:space="preserve">2,3,4 </w:t>
      </w:r>
      <w:r>
        <w:rPr>
          <w:color w:val="030503"/>
          <w:sz w:val="16"/>
          <w:szCs w:val="16"/>
        </w:rPr>
        <w:t>Department of Electrical Engineering, Faculty of Engineering, Hasanuddin University, Makassar, Indonesia</w:t>
      </w:r>
      <w:r>
        <w:rPr>
          <w:color w:val="030503"/>
          <w:sz w:val="16"/>
          <w:szCs w:val="16"/>
        </w:rPr>
        <w:br/>
      </w:r>
    </w:p>
    <w:p w:rsidR="00981BE6" w:rsidRDefault="00981BE6" w:rsidP="00E43B20">
      <w:pPr>
        <w:kinsoku w:val="0"/>
        <w:overflowPunct w:val="0"/>
        <w:autoSpaceDE/>
        <w:autoSpaceDN/>
        <w:adjustRightInd/>
        <w:jc w:val="center"/>
        <w:textAlignment w:val="baseline"/>
        <w:rPr>
          <w:color w:val="030503"/>
          <w:sz w:val="9"/>
          <w:szCs w:val="9"/>
          <w:vertAlign w:val="superscript"/>
        </w:rPr>
        <w:sectPr w:rsidR="00981BE6" w:rsidSect="00E43B20">
          <w:type w:val="continuous"/>
          <w:pgSz w:w="11909" w:h="15874"/>
          <w:pgMar w:top="677" w:right="1119" w:bottom="1350" w:left="755" w:header="720" w:footer="720" w:gutter="0"/>
          <w:cols w:space="720"/>
          <w:noEndnote/>
        </w:sectPr>
      </w:pPr>
    </w:p>
    <w:p w:rsidR="00E43B20" w:rsidRDefault="00E43B20" w:rsidP="00E43B20">
      <w:pPr>
        <w:kinsoku w:val="0"/>
        <w:overflowPunct w:val="0"/>
        <w:autoSpaceDE/>
        <w:autoSpaceDN/>
        <w:adjustRightInd/>
        <w:jc w:val="center"/>
        <w:textAlignment w:val="baseline"/>
        <w:rPr>
          <w:color w:val="030503"/>
          <w:sz w:val="9"/>
          <w:szCs w:val="9"/>
          <w:vertAlign w:val="superscript"/>
        </w:rPr>
      </w:pPr>
    </w:p>
    <w:p w:rsidR="00E43B20" w:rsidRDefault="00E43B20" w:rsidP="00E43B20">
      <w:pPr>
        <w:kinsoku w:val="0"/>
        <w:overflowPunct w:val="0"/>
        <w:autoSpaceDE/>
        <w:autoSpaceDN/>
        <w:adjustRightInd/>
        <w:jc w:val="center"/>
        <w:textAlignment w:val="baseline"/>
        <w:rPr>
          <w:color w:val="030503"/>
          <w:sz w:val="9"/>
          <w:szCs w:val="9"/>
          <w:vertAlign w:val="superscript"/>
        </w:rPr>
      </w:pPr>
    </w:p>
    <w:p w:rsidR="00981BE6" w:rsidRDefault="00981BE6" w:rsidP="00E43B20">
      <w:pPr>
        <w:kinsoku w:val="0"/>
        <w:overflowPunct w:val="0"/>
        <w:autoSpaceDE/>
        <w:autoSpaceDN/>
        <w:adjustRightInd/>
        <w:jc w:val="center"/>
        <w:textAlignment w:val="baseline"/>
        <w:rPr>
          <w:color w:val="030503"/>
          <w:sz w:val="16"/>
          <w:szCs w:val="16"/>
        </w:rPr>
      </w:pPr>
      <w:r>
        <w:rPr>
          <w:color w:val="030503"/>
          <w:sz w:val="9"/>
          <w:szCs w:val="9"/>
          <w:vertAlign w:val="superscript"/>
        </w:rPr>
        <w:t></w:t>
      </w:r>
      <w:r>
        <w:rPr>
          <w:color w:val="030503"/>
          <w:sz w:val="16"/>
          <w:szCs w:val="16"/>
        </w:rPr>
        <w:t xml:space="preserve">Corresponding author. </w:t>
      </w:r>
      <w:hyperlink r:id="rId5" w:history="1">
        <w:r>
          <w:rPr>
            <w:color w:val="0000FF"/>
            <w:sz w:val="16"/>
            <w:szCs w:val="16"/>
            <w:u w:val="single"/>
          </w:rPr>
          <w:t xml:space="preserve">E-mail: </w:t>
        </w:r>
      </w:hyperlink>
      <w:r>
        <w:rPr>
          <w:color w:val="0000FF"/>
          <w:sz w:val="16"/>
          <w:szCs w:val="16"/>
          <w:u w:val="single"/>
        </w:rPr>
        <w:t>resha@nitromks.ac.id</w:t>
      </w:r>
    </w:p>
    <w:p w:rsidR="00981BE6" w:rsidRDefault="00981BE6" w:rsidP="00E43B20">
      <w:pPr>
        <w:kinsoku w:val="0"/>
        <w:overflowPunct w:val="0"/>
        <w:autoSpaceDE/>
        <w:autoSpaceDN/>
        <w:adjustRightInd/>
        <w:jc w:val="center"/>
        <w:textAlignment w:val="baseline"/>
        <w:rPr>
          <w:color w:val="0C1F26"/>
          <w:sz w:val="16"/>
          <w:szCs w:val="16"/>
        </w:rPr>
        <w:sectPr w:rsidR="00981BE6" w:rsidSect="00981BE6">
          <w:type w:val="continuous"/>
          <w:pgSz w:w="11909" w:h="15874"/>
          <w:pgMar w:top="677" w:right="1119" w:bottom="584" w:left="755" w:header="720" w:footer="720" w:gutter="0"/>
          <w:cols w:space="720"/>
          <w:noEndnote/>
        </w:sectPr>
      </w:pPr>
    </w:p>
    <w:p w:rsidR="00981BE6" w:rsidRDefault="00981BE6" w:rsidP="00E43B20">
      <w:pPr>
        <w:widowControl/>
        <w:rPr>
          <w:color w:val="0C1F26"/>
          <w:sz w:val="16"/>
          <w:szCs w:val="16"/>
        </w:rPr>
      </w:pPr>
    </w:p>
    <w:p w:rsidR="00895D19" w:rsidRDefault="00895D19" w:rsidP="00E43B20">
      <w:pPr>
        <w:widowControl/>
        <w:rPr>
          <w:color w:val="0C1F26"/>
          <w:sz w:val="16"/>
          <w:szCs w:val="16"/>
        </w:rPr>
      </w:pPr>
      <w:bookmarkStart w:id="0" w:name="_GoBack"/>
      <w:bookmarkEnd w:id="0"/>
    </w:p>
    <w:p w:rsidR="00895D19" w:rsidRDefault="00895D19" w:rsidP="00981BE6">
      <w:pPr>
        <w:widowControl/>
        <w:rPr>
          <w:color w:val="0C1F26"/>
          <w:sz w:val="16"/>
          <w:szCs w:val="16"/>
        </w:rPr>
      </w:pPr>
    </w:p>
    <w:p w:rsidR="00895D19" w:rsidRDefault="00895D19" w:rsidP="00981BE6">
      <w:pPr>
        <w:widowControl/>
        <w:rPr>
          <w:color w:val="0C1F26"/>
          <w:sz w:val="16"/>
          <w:szCs w:val="16"/>
        </w:rPr>
      </w:pPr>
      <w:r>
        <w:rPr>
          <w:noProof/>
          <w:color w:val="0C1F26"/>
          <w:sz w:val="16"/>
          <w:szCs w:val="16"/>
        </w:rPr>
        <mc:AlternateContent>
          <mc:Choice Requires="wps">
            <w:drawing>
              <wp:anchor distT="0" distB="0" distL="114300" distR="114300" simplePos="0" relativeHeight="251658752" behindDoc="0" locked="0" layoutInCell="1" allowOverlap="1">
                <wp:simplePos x="0" y="0"/>
                <wp:positionH relativeFrom="column">
                  <wp:posOffset>17366</wp:posOffset>
                </wp:positionH>
                <wp:positionV relativeFrom="paragraph">
                  <wp:posOffset>77001</wp:posOffset>
                </wp:positionV>
                <wp:extent cx="6342352"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634235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AFC55E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6.05pt" to="500.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3wuAEAALcDAAAOAAAAZHJzL2Uyb0RvYy54bWysU8tu2zAQvBfoPxC8x5JlNygEyzk4aC9F&#10;YjTtBzDU0iLKF5asJf99l7StBG2RQ9ELxSVnZneWq83dZA07AkbtXceXi5ozcNL32h06/v3bp5uP&#10;nMUkXC+Md9DxE0R+t33/bjOGFho/eNMDMhJxsR1Dx4eUQltVUQ5gRVz4AI4ulUcrEoV4qHoUI6lb&#10;UzV1fVuNHvuAXkKMdHp/vuTboq8UyPSoVITETMeptlRWLOtzXqvtRrQHFGHQ8lKG+IcqrNCOks5S&#10;9yIJ9hP1H1JWS/TRq7SQ3lZeKS2heCA3y/o3N0+DCFC8UHNimNsU/5+sfDjukem+42vOnLD0RE8J&#10;hT4Mie28c9RAj2yd+zSG2BJ85/Z4iWLYYzY9KbT5S3bYVHp7mnsLU2KSDm9X62b1oeFMXu+qF2LA&#10;mD6DtyxvOm60y7ZFK45fYqJkBL1CKMiFnFOXXToZyGDjvoIiK5RsVdhliGBnkB0FPX//Y5ltkFZB&#10;ZorSxsyk+m3SBZtpUAZrJjZvE2d0yehdmolWO49/I6fpWqo646+uz16z7Wffn8pDlHbQdBRnl0nO&#10;4/c6LvSX/237CwAA//8DAFBLAwQUAAYACAAAACEADxauqt0AAAAIAQAADwAAAGRycy9kb3ducmV2&#10;LnhtbEyPQUvDQBCF74L/YRnBi9jdBGNLmk0RwUMEBVvxPM1Ok2h2NmS3afz3bvGgx3nv8eZ7xWa2&#10;vZho9J1jDclCgSCunem40fC+e7pdgfAB2WDvmDR8k4dNeXlRYG7cid9o2oZGxBL2OWpoQxhyKX3d&#10;kkW/cANx9A5utBjiOTbSjHiK5baXqVL30mLH8UOLAz22VH9tj1bDZ/VRNdnNsju83mXPuJuyF54q&#10;ra+v5oc1iEBz+AvDGT+iQxmZ9u7IxoteQ7qMwSinCYizrVSSgdj/KrIs5P8B5Q8AAAD//wMAUEsB&#10;Ai0AFAAGAAgAAAAhALaDOJL+AAAA4QEAABMAAAAAAAAAAAAAAAAAAAAAAFtDb250ZW50X1R5cGVz&#10;XS54bWxQSwECLQAUAAYACAAAACEAOP0h/9YAAACUAQAACwAAAAAAAAAAAAAAAAAvAQAAX3JlbHMv&#10;LnJlbHNQSwECLQAUAAYACAAAACEAkgjN8LgBAAC3AwAADgAAAAAAAAAAAAAAAAAuAgAAZHJzL2Uy&#10;b0RvYy54bWxQSwECLQAUAAYACAAAACEADxauqt0AAAAIAQAADwAAAAAAAAAAAAAAAAASBAAAZHJz&#10;L2Rvd25yZXYueG1sUEsFBgAAAAAEAAQA8wAAABwFAAAAAA==&#10;" strokecolor="black [3200]" strokeweight="1.5pt">
                <v:stroke joinstyle="miter"/>
              </v:line>
            </w:pict>
          </mc:Fallback>
        </mc:AlternateContent>
      </w:r>
    </w:p>
    <w:p w:rsidR="00895D19" w:rsidRDefault="00895D19" w:rsidP="00981BE6">
      <w:pPr>
        <w:widowControl/>
        <w:rPr>
          <w:color w:val="0C1F26"/>
          <w:sz w:val="16"/>
          <w:szCs w:val="16"/>
        </w:rPr>
      </w:pPr>
    </w:p>
    <w:p w:rsidR="00981BE6" w:rsidRDefault="00981BE6" w:rsidP="00981BE6">
      <w:pPr>
        <w:widowControl/>
        <w:rPr>
          <w:color w:val="0C1F26"/>
          <w:sz w:val="16"/>
          <w:szCs w:val="16"/>
        </w:rPr>
      </w:pPr>
    </w:p>
    <w:p w:rsidR="00981BE6" w:rsidRDefault="00981BE6" w:rsidP="00981BE6">
      <w:pPr>
        <w:widowControl/>
        <w:rPr>
          <w:color w:val="0C1F26"/>
          <w:sz w:val="16"/>
          <w:szCs w:val="16"/>
        </w:rPr>
        <w:sectPr w:rsidR="00981BE6" w:rsidSect="00981BE6">
          <w:type w:val="continuous"/>
          <w:pgSz w:w="11909" w:h="15874"/>
          <w:pgMar w:top="677" w:right="1123" w:bottom="590" w:left="749" w:header="720" w:footer="720" w:gutter="0"/>
          <w:cols w:space="385"/>
          <w:noEndnote/>
        </w:sectPr>
      </w:pPr>
    </w:p>
    <w:p w:rsidR="00981BE6" w:rsidRPr="00981BE6" w:rsidRDefault="00981BE6" w:rsidP="00981BE6">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lastRenderedPageBreak/>
        <w:t>Abstract</w:t>
      </w:r>
    </w:p>
    <w:p w:rsidR="00981BE6" w:rsidRDefault="00981BE6" w:rsidP="00981BE6">
      <w:pPr>
        <w:widowControl/>
        <w:rPr>
          <w:color w:val="0C1F26"/>
          <w:sz w:val="16"/>
          <w:szCs w:val="16"/>
        </w:rPr>
      </w:pPr>
    </w:p>
    <w:p w:rsidR="00981BE6" w:rsidRDefault="00FA7AC7" w:rsidP="00981BE6">
      <w:pPr>
        <w:widowControl/>
        <w:rPr>
          <w:color w:val="0C1F26"/>
        </w:rPr>
      </w:pPr>
      <w:r w:rsidRPr="00FA7AC7">
        <w:rPr>
          <w:b/>
          <w:color w:val="0C1F26"/>
        </w:rPr>
        <w:t>BACKGROUND</w:t>
      </w:r>
      <w:r>
        <w:rPr>
          <w:color w:val="0C1F26"/>
        </w:rPr>
        <w:t xml:space="preserve"> :</w:t>
      </w:r>
    </w:p>
    <w:p w:rsidR="00FA7AC7" w:rsidRDefault="00FA7AC7" w:rsidP="00981BE6">
      <w:pPr>
        <w:widowControl/>
        <w:rPr>
          <w:color w:val="0C1F26"/>
        </w:rPr>
      </w:pPr>
    </w:p>
    <w:p w:rsidR="00FA7AC7" w:rsidRDefault="00FA7AC7" w:rsidP="00981BE6">
      <w:pPr>
        <w:widowControl/>
        <w:rPr>
          <w:color w:val="0C1F26"/>
        </w:rPr>
      </w:pPr>
      <w:r w:rsidRPr="00FA7AC7">
        <w:rPr>
          <w:b/>
          <w:color w:val="0C1F26"/>
        </w:rPr>
        <w:t>METHODS</w:t>
      </w:r>
      <w:r>
        <w:rPr>
          <w:color w:val="0C1F26"/>
        </w:rPr>
        <w:t xml:space="preserve"> :</w:t>
      </w:r>
    </w:p>
    <w:p w:rsidR="00FA7AC7" w:rsidRDefault="00FA7AC7" w:rsidP="00981BE6">
      <w:pPr>
        <w:widowControl/>
        <w:rPr>
          <w:color w:val="0C1F26"/>
        </w:rPr>
      </w:pPr>
    </w:p>
    <w:p w:rsidR="00FA7AC7" w:rsidRDefault="00FA7AC7" w:rsidP="00981BE6">
      <w:pPr>
        <w:widowControl/>
        <w:rPr>
          <w:color w:val="0C1F26"/>
        </w:rPr>
      </w:pPr>
      <w:r w:rsidRPr="00FA7AC7">
        <w:rPr>
          <w:b/>
          <w:color w:val="0C1F26"/>
        </w:rPr>
        <w:t>RESULTS</w:t>
      </w:r>
      <w:r>
        <w:rPr>
          <w:color w:val="0C1F26"/>
        </w:rPr>
        <w:t xml:space="preserve"> :</w:t>
      </w:r>
    </w:p>
    <w:p w:rsidR="00FA7AC7" w:rsidRDefault="00FA7AC7" w:rsidP="00981BE6">
      <w:pPr>
        <w:widowControl/>
        <w:rPr>
          <w:color w:val="0C1F26"/>
        </w:rPr>
      </w:pPr>
    </w:p>
    <w:p w:rsidR="00FA7AC7" w:rsidRDefault="00FA7AC7" w:rsidP="00981BE6">
      <w:pPr>
        <w:widowControl/>
        <w:rPr>
          <w:color w:val="0C1F26"/>
        </w:rPr>
      </w:pPr>
      <w:r w:rsidRPr="00FA7AC7">
        <w:rPr>
          <w:b/>
          <w:color w:val="0C1F26"/>
        </w:rPr>
        <w:t>CONCLUSION</w:t>
      </w:r>
      <w:r>
        <w:rPr>
          <w:color w:val="0C1F26"/>
        </w:rPr>
        <w:t xml:space="preserve"> :</w:t>
      </w:r>
    </w:p>
    <w:p w:rsidR="00FA7AC7" w:rsidRPr="00FA7AC7" w:rsidRDefault="00FA7AC7" w:rsidP="00981BE6">
      <w:pPr>
        <w:widowControl/>
        <w:rPr>
          <w:color w:val="0C1F26"/>
        </w:rPr>
      </w:pPr>
    </w:p>
    <w:p w:rsidR="00981BE6" w:rsidRPr="00FA7AC7" w:rsidRDefault="00FA7AC7" w:rsidP="00981BE6">
      <w:pPr>
        <w:widowControl/>
        <w:rPr>
          <w:color w:val="0C1F26"/>
        </w:rPr>
      </w:pPr>
      <w:r w:rsidRPr="00FA7AC7">
        <w:rPr>
          <w:b/>
          <w:color w:val="0C1F26"/>
        </w:rPr>
        <w:t>KEYWORDS</w:t>
      </w:r>
      <w:r>
        <w:rPr>
          <w:color w:val="0C1F26"/>
        </w:rPr>
        <w:t xml:space="preserve"> :</w:t>
      </w:r>
    </w:p>
    <w:p w:rsidR="00981BE6" w:rsidRPr="00FA7AC7" w:rsidRDefault="00981BE6" w:rsidP="00981BE6">
      <w:pPr>
        <w:widowControl/>
        <w:rPr>
          <w:color w:val="0C1F26"/>
        </w:rPr>
      </w:pPr>
    </w:p>
    <w:p w:rsidR="00981BE6" w:rsidRPr="00FA7AC7" w:rsidRDefault="00981BE6" w:rsidP="00981BE6">
      <w:pPr>
        <w:widowControl/>
        <w:rPr>
          <w:color w:val="0C1F26"/>
        </w:rPr>
      </w:pPr>
    </w:p>
    <w:p w:rsidR="00981BE6" w:rsidRDefault="00981BE6" w:rsidP="00981BE6">
      <w:pPr>
        <w:widowControl/>
        <w:rPr>
          <w:color w:val="0C1F26"/>
          <w:sz w:val="16"/>
          <w:szCs w:val="16"/>
        </w:rPr>
      </w:pPr>
    </w:p>
    <w:p w:rsidR="00981BE6" w:rsidRPr="00981BE6" w:rsidRDefault="00981BE6" w:rsidP="00981BE6">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Introduction</w:t>
      </w:r>
    </w:p>
    <w:p w:rsidR="00981BE6" w:rsidRPr="00A77BEF" w:rsidRDefault="00981BE6" w:rsidP="00981BE6">
      <w:pPr>
        <w:widowControl/>
        <w:rPr>
          <w:color w:val="0C1F26"/>
        </w:rPr>
      </w:pPr>
    </w:p>
    <w:p w:rsidR="00D23F62" w:rsidRPr="00D23F62" w:rsidRDefault="00D23F62" w:rsidP="00D23F62">
      <w:pPr>
        <w:widowControl/>
        <w:jc w:val="both"/>
        <w:rPr>
          <w:color w:val="0C1F26"/>
        </w:rPr>
      </w:pPr>
      <w:r w:rsidRPr="00D23F62">
        <w:rPr>
          <w:color w:val="0C1F26"/>
        </w:rPr>
        <w:t>Penyakit Tuberkulosis (TB) merupakan penyakit menular dan banyak kasus bersifat mematikan. Penyakit ini disebabkan oleh Mycobacterium Tuberculosis . Penyakit Tuberkulosis menyerang paru-paru dan dapat berdampak pada bagian tubuh lainnya. Tuberkulosis menyebar melalui udara ketika seseorang dengan infeksi TB aktif batuk, bersin, atau menyebarkan butiran ludah melalui udara</w:t>
      </w:r>
      <w:r>
        <w:rPr>
          <w:color w:val="0C1F26"/>
        </w:rPr>
        <w:t xml:space="preserve">. </w:t>
      </w:r>
      <w:r>
        <w:rPr>
          <w:color w:val="0C1F26"/>
        </w:rPr>
        <w:fldChar w:fldCharType="begin" w:fldLock="1"/>
      </w:r>
      <w:r>
        <w:rPr>
          <w:color w:val="0C1F26"/>
        </w:rPr>
        <w:instrText>ADDIN CSL_CITATION {"citationItems":[{"id":"ITEM-1","itemData":{"author":[{"dropping-particle":"","family":"Barat","given":"Jawa","non-dropping-particle":"","parse-names":false,"suffix":""},{"dropping-particle":"","family":"Rahmaniati","given":"Martya","non-dropping-particle":"","parse-names":false,"suffix":""},{"dropping-particle":"","family":"Biostatistik","given":"Departemen","non-dropping-particle":"","parse-names":false,"suffix":""},{"dropping-particle":"","family":"Masyarakat","given":"Fakultas Kesehatan","non-dropping-particle":"","parse-names":false,"suffix":""}],"id":"ITEM-1","issued":{"date-parts":[["2012"]]},"page":"1-15","title":"Pola Penyebaran Kasus Tuberkulosis Dengan Pendekatan Spasial-Statistik (Studi kasus di Kota Depok, Jawa Barat)","type":"article-journal"},"uris":["http://www.mendeley.com/documents/?uuid=b971d52c-baa4-4228-b84d-abc51ab0b47c"]}],"mendeley":{"formattedCitation":"[1]","plainTextFormattedCitation":"[1]","previouslyFormattedCitation":"[1]"},"properties":{"noteIndex":0},"schema":"https://github.com/citation-style-language/schema/raw/master/csl-citation.json"}</w:instrText>
      </w:r>
      <w:r>
        <w:rPr>
          <w:color w:val="0C1F26"/>
        </w:rPr>
        <w:fldChar w:fldCharType="separate"/>
      </w:r>
      <w:r w:rsidRPr="00D23F62">
        <w:rPr>
          <w:noProof/>
          <w:color w:val="0C1F26"/>
        </w:rPr>
        <w:t>[1]</w:t>
      </w:r>
      <w:r>
        <w:rPr>
          <w:color w:val="0C1F26"/>
        </w:rPr>
        <w:fldChar w:fldCharType="end"/>
      </w:r>
      <w:r w:rsidRPr="00D23F62">
        <w:rPr>
          <w:color w:val="0C1F26"/>
        </w:rPr>
        <w:t xml:space="preserve"> </w:t>
      </w:r>
    </w:p>
    <w:p w:rsidR="00D23F62" w:rsidRPr="00D23F62" w:rsidRDefault="00D23F62" w:rsidP="00D23F62">
      <w:pPr>
        <w:widowControl/>
        <w:jc w:val="both"/>
        <w:rPr>
          <w:color w:val="0C1F26"/>
        </w:rPr>
      </w:pPr>
    </w:p>
    <w:p w:rsidR="00D23F62" w:rsidRPr="00D23F62" w:rsidRDefault="00D23F62" w:rsidP="00D23F62">
      <w:pPr>
        <w:widowControl/>
        <w:jc w:val="both"/>
        <w:rPr>
          <w:color w:val="0C1F26"/>
        </w:rPr>
      </w:pPr>
      <w:r w:rsidRPr="00D23F62">
        <w:rPr>
          <w:color w:val="0C1F26"/>
        </w:rPr>
        <w:t>Penyakit TB masih menjadi masalah penting bagi kesehatan dunia. Dimana diperkirakan TB telah menye</w:t>
      </w:r>
      <w:r>
        <w:rPr>
          <w:color w:val="0C1F26"/>
        </w:rPr>
        <w:t>rang 1/3 dari penduduk dunia.</w:t>
      </w:r>
      <w:r>
        <w:rPr>
          <w:color w:val="0C1F26"/>
        </w:rPr>
        <w:fldChar w:fldCharType="begin" w:fldLock="1"/>
      </w:r>
      <w:r>
        <w:rPr>
          <w:color w:val="0C1F26"/>
        </w:rPr>
        <w:instrText>ADDIN CSL_CITATION {"citationItems":[{"id":"ITEM-1","itemData":{"DOI":"10.1016/S2214-109X(14)70361-4","ISSN":"2214109X","author":[{"dropping-particle":"","family":"Zumla","given":"Alimuddin","non-dropping-particle":"","parse-names":false,"suffix":""},{"dropping-particle":"","family":"George","given":"Andrew","non-dropping-particle":"","parse-names":false,"suffix":""},{"dropping-particle":"","family":"Sharma","given":"Virendra","non-dropping-particle":"","parse-names":false,"suffix":""},{"dropping-particle":"","family":"Herbert","given":"Rt Hon Nick","non-dropping-particle":"","parse-names":false,"suffix":""},{"dropping-particle":"","family":"Oxley","given":"Aaron","non-dropping-particle":"","parse-names":false,"suffix":""},{"dropping-particle":"","family":"Oliver","given":"Matt","non-dropping-particle":"","parse-names":false,"suffix":""}],"container-title":"The Lancet Global Health","id":"ITEM-1","issue":"1","issued":{"date-parts":[["2015","1","1"]]},"page":"e10-e12","publisher":"Elsevier Ltd","title":"The WHO 2014 Global tuberculosis report-further to go","type":"article","volume":"3"},"uris":["http://www.mendeley.com/documents/?uuid=36c41789-4de1-3d65-827e-ef5ae5c91036"]}],"mendeley":{"formattedCitation":"[2]","plainTextFormattedCitation":"[2]","previouslyFormattedCitation":"[2]"},"properties":{"noteIndex":0},"schema":"https://github.com/citation-style-language/schema/raw/master/csl-citation.json"}</w:instrText>
      </w:r>
      <w:r>
        <w:rPr>
          <w:color w:val="0C1F26"/>
        </w:rPr>
        <w:fldChar w:fldCharType="separate"/>
      </w:r>
      <w:r w:rsidRPr="00D23F62">
        <w:rPr>
          <w:noProof/>
          <w:color w:val="0C1F26"/>
        </w:rPr>
        <w:t>[2]</w:t>
      </w:r>
      <w:r>
        <w:rPr>
          <w:color w:val="0C1F26"/>
        </w:rPr>
        <w:fldChar w:fldCharType="end"/>
      </w:r>
      <w:r w:rsidRPr="00D23F62">
        <w:rPr>
          <w:color w:val="0C1F26"/>
        </w:rPr>
        <w:t xml:space="preserve"> Data WHO pada tahun 2019 menunjukkan bahwa penyakit Tb telah menyerang sebanyak 10,4 juta jiwa dimana 1,8 juta diantaranya meninggal karena penyakitTb. WHO menyatakan bahwa 60% dari total kasus Tb di dunia berasal dari 6 negara, yaitu China, India, Indonesia, Nigeria, P</w:t>
      </w:r>
      <w:r>
        <w:rPr>
          <w:color w:val="0C1F26"/>
        </w:rPr>
        <w:t xml:space="preserve">akistan, dan Afrika Selatan. </w:t>
      </w:r>
      <w:r>
        <w:rPr>
          <w:color w:val="0C1F26"/>
        </w:rPr>
        <w:fldChar w:fldCharType="begin" w:fldLock="1"/>
      </w:r>
      <w:r>
        <w:rPr>
          <w:color w:val="0C1F26"/>
        </w:rPr>
        <w:instrText>ADDIN CSL_CITATION {"citationItems":[{"id":"ITEM-1","itemData":{"DOI":"10.1183/13993003.01245-2015","ISSN":"13993003","PMID":"26405286","abstract":"Latent tuberculosis infection (LTBI) is characterised by the presence of immune responses to previously acquired Mycobacterium tuberculosis infection without clinical evidence of active tuberculosis (TB). Here we report evidence-based guidelines from the World Health Organization for a public health approach to the management of LTBI in high risk individuals in countries with high or middle upper income and TB incidence of &lt;100 per 100 000 per year. The guidelines strongly recommend systematic testing and treatment of LTBI in people living with HIV, adult and child contacts of pulmonary TB cases, patients initiating anti-tumour necrosis factor treatment, patients receiving dialysis, patients preparing for organ or haematological transplantation, and patients with silicosis. In prisoners, healthcare workers, immigrants from high TB burden countries, homeless persons and illicit drug users, systematic testing and treatment of LTBI is conditionally recommended, according to TB epidemiology and resource availability. Either commercial interferon-gamma release assays or Mantoux tuberculin skin testing could be used to test for LTBI. Chest radiography should be performed before LTBI treatment to rule out active TB disease. Recommended treatment regimens for LTBI include: 6 or 9 month isoniazid; 12 week rifapentine plus isoniazid; 3-4 month isoniazid plus rifampicin; or 3-4 month rifampicin alone.","author":[{"dropping-particle":"","family":"Getahun","given":"Haileyesus","non-dropping-particle":"","parse-names":false,"suffix":""},{"dropping-particle":"","family":"Matteelli","given":"Alberto","non-dropping-particle":"","parse-names":false,"suffix":""},{"dropping-particle":"","family":"Abubakar","given":"Ibrahim","non-dropping-particle":"","parse-names":false,"suffix":""},{"dropping-particle":"","family":"Abdel Aziz","given":"Mohamed","non-dropping-particle":"","parse-names":false,"suffix":""},{"dropping-particle":"","family":"Baddeley","given":"Annabel","non-dropping-particle":"","parse-names":false,"suffix":""},{"dropping-particle":"","family":"Barreira","given":"Draurio","non-dropping-particle":"","parse-names":false,"suffix":""},{"dropping-particle":"","family":"Boon","given":"Saskia","non-dropping-particle":"Den","parse-names":false,"suffix":""},{"dropping-particle":"","family":"Gutierrez","given":"Susana Marta Borroto","non-dropping-particle":"","parse-names":false,"suffix":""},{"dropping-particle":"","family":"Bruchfeld","given":"Judith","non-dropping-particle":"","parse-names":false,"suffix":""},{"dropping-particle":"","family":"Burhan","given":"Erlina","non-dropping-particle":"","parse-names":false,"suffix":""},{"dropping-particle":"","family":"Cavalcante","given":"Solange","non-dropping-particle":"","parse-names":false,"suffix":""},{"dropping-particle":"","family":"Cedillos","given":"Rolando","non-dropping-particle":"","parse-names":false,"suffix":""},{"dropping-particle":"","family":"Chaisson","given":"Richard","non-dropping-particle":"","parse-names":false,"suffix":""},{"dropping-particle":"","family":"Chee","given":"Cynthia Bin Eng","non-dropping-particle":"","parse-names":false,"suffix":""},{"dropping-particle":"","family":"Chesire","given":"Lucy","non-dropping-particle":"","parse-names":false,"suffix":""},{"dropping-particle":"","family":"Corbett","given":"Elizabeth","non-dropping-particle":"","parse-names":false,"suffix":""},{"dropping-particle":"","family":"Dara","given":"Masoud","non-dropping-particle":"","parse-names":false,"suffix":""},{"dropping-particle":"","family":"Denholm","given":"Justin","non-dropping-particle":"","parse-names":false,"suffix":""},{"dropping-particle":"","family":"Vries","given":"Gerard","non-dropping-particle":"De","parse-names":false,"suffix":""},{"dropping-particle":"","family":"Falzon","given":"Dennis","non-dropping-particle":"","parse-names":false,"suffix":""},{"dropping-particle":"","family":"Ford","given":"Nathan","non-dropping-particle":"","parse-names":false,"suffix":""},{"dropping-particle":"","family":"Gale-Rowe","given":"Margaret","non-dropping-particle":"","parse-names":false,"suffix":""},{"dropping-particle":"","family":"Gilpin","given":"Chris","non-dropping-particle":"","parse-names":false,"suffix":""},{"dropping-particle":"","family":"Girardi","given":"Enrico","non-dropping-particle":"","parse-names":false,"suffix":""},{"dropping-particle":"","family":"Go","given":"Un Yeong","non-dropping-particle":"","parse-names":false,"suffix":""},{"dropping-particle":"","family":"Govindasamy","given":"Darshini","non-dropping-particle":"","parse-names":false,"suffix":""},{"dropping-particle":"","family":"Grant","given":"Alison D.","non-dropping-particle":"","parse-names":false,"suffix":""},{"dropping-particle":"","family":"Grzemska","given":"Malgorzata","non-dropping-particle":"","parse-names":false,"suffix":""},{"dropping-particle":"","family":"Harris","given":"Ross","non-dropping-particle":"","parse-names":false,"suffix":""},{"dropping-particle":"","family":"Horsburgh","given":"C. Robert","non-dropping-particle":"","parse-names":false,"suffix":""},{"dropping-particle":"","family":"Ismayilov","given":"Asker","non-dropping-particle":"","parse-names":false,"suffix":""},{"dropping-particle":"","family":"Jaramillo","given":"Ernesto","non-dropping-particle":"","parse-names":false,"suffix":""},{"dropping-particle":"","family":"Kik","given":"Sandra","non-dropping-particle":"","parse-names":false,"suffix":""},{"dropping-particle":"","family":"Kranzer","given":"Katharina","non-dropping-particle":"","parse-names":false,"suffix":""},{"dropping-particle":"","family":"Lienhardt","given":"Christian","non-dropping-particle":"","parse-names":false,"suffix":""},{"dropping-particle":"","family":"LoBue","given":"Philip","non-dropping-particle":"","parse-names":false,"suffix":""},{"dropping-particle":"","family":"Lönnroth","given":"Knut","non-dropping-particle":"","parse-names":false,"suffix":""},{"dropping-particle":"","family":"Marks","given":"Guy","non-dropping-particle":"","parse-names":false,"suffix":""},{"dropping-particle":"","family":"Menzies","given":"Dick","non-dropping-particle":"","parse-names":false,"suffix":""},{"dropping-particle":"","family":"Migliori","given":"Giovanni Battista","non-dropping-particle":"","parse-names":false,"suffix":""},{"dropping-particle":"","family":"Mosca","given":"Davide","non-dropping-particle":"","parse-names":false,"suffix":""},{"dropping-particle":"","family":"Mukadi","given":"Ya Diul","non-dropping-particle":"","parse-names":false,"suffix":""},{"dropping-particle":"","family":"Mwinga","given":"Alwyn","non-dropping-particle":"","parse-names":false,"suffix":""},{"dropping-particle":"","family":"Nelson","given":"Lisa","non-dropping-particle":"","parse-names":false,"suffix":""},{"dropping-particle":"","family":"Nishikiori","given":"Nobuyuki","non-dropping-particle":"","parse-names":false,"suffix":""},{"dropping-particle":"","family":"Oordt-Speets","given":"Anouk","non-dropping-particle":"","parse-names":false,"suffix":""},{"dropping-particle":"","family":"Rangaka","given":"Molebogeng Xheedha","non-dropping-particle":"","parse-names":false,"suffix":""},{"dropping-particle":"","family":"Reis","given":"Andreas","non-dropping-particle":"","parse-names":false,"suffix":""},{"dropping-particle":"","family":"Rotz","given":"Lisa","non-dropping-particle":"","parse-names":false,"suffix":""},{"dropping-particle":"","family":"Sandgren","given":"Andreas","non-dropping-particle":"","parse-names":false,"suffix":""},{"dropping-particle":"","family":"Schepisi","given":"Monica Sañé","non-dropping-particle":"","parse-names":false,"suffix":""},{"dropping-particle":"","family":"Schünemann","given":"Holger J.","non-dropping-particle":"","parse-names":false,"suffix":""},{"dropping-particle":"","family":"Sharma","given":"Surender Kumar","non-dropping-particle":"","parse-names":false,"suffix":""},{"dropping-particle":"","family":"Sotgiu","given":"Giovanni","non-dropping-particle":"","parse-names":false,"suffix":""},{"dropping-particle":"","family":"Stagg","given":"Helen R.","non-dropping-particle":"","parse-names":false,"suffix":""},{"dropping-particle":"","family":"Sterling","given":"Timothy R.","non-dropping-particle":"","parse-names":false,"suffix":""},{"dropping-particle":"","family":"Tayeb","given":"Tamara","non-dropping-particle":"","parse-names":false,"suffix":""},{"dropping-particle":"","family":"Uplekar","given":"Mukund","non-dropping-particle":"","parse-names":false,"suffix":""},{"dropping-particle":"","family":"Werf","given":"Marieke J.","non-dropping-particle":"Van Der","parse-names":false,"suffix":""},{"dropping-particle":"","family":"Vandevelde","given":"Wim","non-dropping-particle":"","parse-names":false,"suffix":""},{"dropping-particle":"","family":"Kessel","given":"Femke","non-dropping-particle":"Van","parse-names":false,"suffix":""},{"dropping-particle":"","family":"Van'T Hoog","given":"Anna","non-dropping-particle":"","parse-names":false,"suffix":""},{"dropping-particle":"","family":"Varma","given":"Jay K.","non-dropping-particle":"","parse-names":false,"suffix":""},{"dropping-particle":"","family":"Vezhnina","given":"Natalia","non-dropping-particle":"","parse-names":false,"suffix":""},{"dropping-particle":"","family":"Voniatis","given":"Constantia","non-dropping-particle":"","parse-names":false,"suffix":""},{"dropping-particle":"","family":"Noordegraaf-Schouten","given":"Marije Vonk","non-dropping-particle":"","parse-names":false,"suffix":""},{"dropping-particle":"","family":"Weil","given":"Diana","non-dropping-particle":"","parse-names":false,"suffix":""},{"dropping-particle":"","family":"Weyer","given":"Karin","non-dropping-particle":"","parse-names":false,"suffix":""},{"dropping-particle":"","family":"Wilkinson","given":"Robert John","non-dropping-particle":"","parse-names":false,"suffix":""},{"dropping-particle":"","family":"Yoshiyama","given":"Takashi","non-dropping-particle":"","parse-names":false,"suffix":""},{"dropping-particle":"","family":"Zellweger","given":"Jean Pierre","non-dropping-particle":"","parse-names":false,"suffix":""},{"dropping-particle":"","family":"Raviglione","given":"Mario","non-dropping-particle":"","parse-names":false,"suffix":""}],"container-title":"European Respiratory Journal","id":"ITEM-1","issue":"6","issued":{"date-parts":[["2015","12","1"]]},"page":"1563-1576","publisher":"European Respiratory Society","title":"Management of latent Mycobacterium tuberculosis infection: WHO guidelines for low tuberculosis burden countries","type":"article","volume":"46"},"uris":["http://www.mendeley.com/documents/?uuid=371b149f-15ac-3112-9004-cc17fe47eb63"]}],"mendeley":{"formattedCitation":"[3]","plainTextFormattedCitation":"[3]","previouslyFormattedCitation":"[3]"},"properties":{"noteIndex":0},"schema":"https://github.com/citation-style-language/schema/raw/master/csl-citation.json"}</w:instrText>
      </w:r>
      <w:r>
        <w:rPr>
          <w:color w:val="0C1F26"/>
        </w:rPr>
        <w:fldChar w:fldCharType="separate"/>
      </w:r>
      <w:r w:rsidRPr="00D23F62">
        <w:rPr>
          <w:noProof/>
          <w:color w:val="0C1F26"/>
        </w:rPr>
        <w:t>[3]</w:t>
      </w:r>
      <w:r>
        <w:rPr>
          <w:color w:val="0C1F26"/>
        </w:rPr>
        <w:fldChar w:fldCharType="end"/>
      </w:r>
    </w:p>
    <w:p w:rsidR="00D23F62" w:rsidRDefault="00D23F62" w:rsidP="00D23F62">
      <w:pPr>
        <w:widowControl/>
        <w:jc w:val="both"/>
        <w:rPr>
          <w:color w:val="0C1F26"/>
        </w:rPr>
      </w:pPr>
    </w:p>
    <w:p w:rsidR="00872537" w:rsidRDefault="00872537" w:rsidP="00D23F62">
      <w:pPr>
        <w:widowControl/>
        <w:jc w:val="both"/>
        <w:rPr>
          <w:color w:val="0C1F26"/>
        </w:rPr>
      </w:pPr>
      <w:r>
        <w:rPr>
          <w:color w:val="0C1F26"/>
        </w:rPr>
        <w:t>Penyakit ini dapat dip</w:t>
      </w:r>
      <w:r w:rsidRPr="00872537">
        <w:rPr>
          <w:color w:val="0C1F26"/>
        </w:rPr>
        <w:t xml:space="preserve">rediksi </w:t>
      </w:r>
      <w:r>
        <w:rPr>
          <w:color w:val="0C1F26"/>
        </w:rPr>
        <w:t xml:space="preserve">dengan </w:t>
      </w:r>
      <w:r w:rsidR="00BF416C">
        <w:rPr>
          <w:color w:val="0C1F26"/>
        </w:rPr>
        <w:t xml:space="preserve">berbagai macam </w:t>
      </w:r>
      <w:r>
        <w:rPr>
          <w:color w:val="0C1F26"/>
        </w:rPr>
        <w:t xml:space="preserve">model peramalan </w:t>
      </w:r>
      <w:r w:rsidRPr="00872537">
        <w:rPr>
          <w:color w:val="0C1F26"/>
        </w:rPr>
        <w:t xml:space="preserve">kejadian TB. Model peramalan </w:t>
      </w:r>
      <w:r w:rsidR="00BF416C">
        <w:rPr>
          <w:color w:val="0C1F26"/>
        </w:rPr>
        <w:t xml:space="preserve">ini dapat menjadi salah satu </w:t>
      </w:r>
      <w:r w:rsidRPr="00872537">
        <w:rPr>
          <w:color w:val="0C1F26"/>
        </w:rPr>
        <w:t xml:space="preserve">alat penting untuk memprediksi kejadian penyakit menular dan </w:t>
      </w:r>
      <w:r w:rsidR="00BF416C">
        <w:rPr>
          <w:color w:val="0C1F26"/>
        </w:rPr>
        <w:t xml:space="preserve">membantuk </w:t>
      </w:r>
      <w:r w:rsidRPr="00872537">
        <w:rPr>
          <w:color w:val="0C1F26"/>
        </w:rPr>
        <w:t xml:space="preserve">untuk </w:t>
      </w:r>
      <w:r w:rsidR="00BF416C">
        <w:rPr>
          <w:color w:val="0C1F26"/>
        </w:rPr>
        <w:t xml:space="preserve">mengambil </w:t>
      </w:r>
      <w:r w:rsidRPr="00872537">
        <w:rPr>
          <w:color w:val="0C1F26"/>
        </w:rPr>
        <w:t xml:space="preserve">tindakan pencegahan </w:t>
      </w:r>
      <w:r w:rsidR="00BF416C">
        <w:rPr>
          <w:color w:val="0C1F26"/>
        </w:rPr>
        <w:t>yang lebih cepat</w:t>
      </w:r>
      <w:r w:rsidR="00BF416C">
        <w:rPr>
          <w:color w:val="0C1F26"/>
        </w:rPr>
        <w:fldChar w:fldCharType="begin" w:fldLock="1"/>
      </w:r>
      <w:r w:rsidR="00BF416C">
        <w:rPr>
          <w:color w:val="0C1F26"/>
        </w:rPr>
        <w:instrText>ADDIN CSL_CITATION {"citationItems":[{"id":"ITEM-1","itemData":{"DOI":"10.1017/S0950268816003216","ISSN":"14694409","abstract":"Tuberculosis (TB) affects people globally and is being reconsidered as a serious public health problem in China. Reliable forecasting is useful for the prevention and control of TB. This study proposes a hybrid model combining autoregressive integrated moving average (ARIMA) with a nonlinear autoregressive (NAR) neural network for forecasting the incidence of TB from January 2007 to March 2016. Prediction performance was compared between the hybrid model and the ARIMA model. The best-fit hybrid model was combined with an ARIMA (3,1,0) × (0,1,1)12 and NAR neural network with four delays and 12 neurons in the hidden layer. The ARIMA-NAR hybrid model, which exhibited lower mean square error, mean absolute error, and mean absolute percentage error of 0·2209, 0·1373, and 0·0406, respectively, in the modelling performance, could produce more accurate forecasting of TB incidence compared to the ARIMA model. This study shows that developing and applying the ARIMA-NAR hybrid model is an effective method to fit the linear and nonlinear patterns of time-series data, and this model could be helpful in the prevention and control of TB.","author":[{"dropping-particle":"","family":"Wang","given":"K. W.","non-dropping-particle":"","parse-names":false,"suffix":""},{"dropping-particle":"","family":"Deng","given":"C.","non-dropping-particle":"","parse-names":false,"suffix":""},{"dropping-particle":"","family":"Li","given":"J. P.","non-dropping-particle":"","parse-names":false,"suffix":""},{"dropping-particle":"","family":"Zhang","given":"Y. Y.","non-dropping-particle":"","parse-names":false,"suffix":""},{"dropping-particle":"","family":"Li","given":"X. Y.","non-dropping-particle":"","parse-names":false,"suffix":""},{"dropping-particle":"","family":"Wu","given":"M. C.","non-dropping-particle":"","parse-names":false,"suffix":""}],"container-title":"Epidemiology and Infection","id":"ITEM-1","issue":"6","issued":{"date-parts":[["2017","4","1"]]},"page":"1118-1129","publisher":"Cambridge University Press","title":"Hybrid methodology for tuberculosis incidence time-series forecasting based on ARIMA and a NAR neural network","type":"article-journal","volume":"145"},"uris":["http://www.mendeley.com/documents/?uuid=eabff85c-b62f-3ca8-a609-621140ac4015"]}],"mendeley":{"formattedCitation":"[4]","plainTextFormattedCitation":"[4]","previouslyFormattedCitation":"[4]"},"properties":{"noteIndex":0},"schema":"https://github.com/citation-style-language/schema/raw/master/csl-citation.json"}</w:instrText>
      </w:r>
      <w:r w:rsidR="00BF416C">
        <w:rPr>
          <w:color w:val="0C1F26"/>
        </w:rPr>
        <w:fldChar w:fldCharType="separate"/>
      </w:r>
      <w:r w:rsidR="00BF416C" w:rsidRPr="00BF416C">
        <w:rPr>
          <w:noProof/>
          <w:color w:val="0C1F26"/>
        </w:rPr>
        <w:t>[4]</w:t>
      </w:r>
      <w:r w:rsidR="00BF416C">
        <w:rPr>
          <w:color w:val="0C1F26"/>
        </w:rPr>
        <w:fldChar w:fldCharType="end"/>
      </w:r>
      <w:r w:rsidR="00BF416C">
        <w:rPr>
          <w:color w:val="0C1F26"/>
        </w:rPr>
        <w:t xml:space="preserve">. </w:t>
      </w:r>
    </w:p>
    <w:p w:rsidR="00872537" w:rsidRDefault="00872537" w:rsidP="00D23F62">
      <w:pPr>
        <w:widowControl/>
        <w:jc w:val="both"/>
        <w:rPr>
          <w:color w:val="0C1F26"/>
        </w:rPr>
      </w:pPr>
    </w:p>
    <w:p w:rsidR="00C60352" w:rsidRDefault="00C60352" w:rsidP="00C60352">
      <w:pPr>
        <w:widowControl/>
        <w:jc w:val="both"/>
        <w:rPr>
          <w:color w:val="0C1F26"/>
        </w:rPr>
      </w:pPr>
      <w:r>
        <w:rPr>
          <w:color w:val="0C1F26"/>
        </w:rPr>
        <w:t>Memp</w:t>
      </w:r>
      <w:r w:rsidRPr="00C60352">
        <w:rPr>
          <w:color w:val="0C1F26"/>
        </w:rPr>
        <w:t xml:space="preserve">rediksi </w:t>
      </w:r>
      <w:r>
        <w:rPr>
          <w:color w:val="0C1F26"/>
        </w:rPr>
        <w:t xml:space="preserve">kasus </w:t>
      </w:r>
      <w:r w:rsidRPr="00C60352">
        <w:rPr>
          <w:color w:val="0C1F26"/>
        </w:rPr>
        <w:t xml:space="preserve">TB </w:t>
      </w:r>
      <w:r>
        <w:rPr>
          <w:color w:val="0C1F26"/>
        </w:rPr>
        <w:t>dapat membantu mencegah</w:t>
      </w:r>
      <w:r w:rsidR="002B1813">
        <w:rPr>
          <w:color w:val="0C1F26"/>
        </w:rPr>
        <w:t xml:space="preserve"> penyebaran penyakit dengan </w:t>
      </w:r>
      <w:r w:rsidRPr="00C60352">
        <w:rPr>
          <w:color w:val="0C1F26"/>
        </w:rPr>
        <w:t>deteksi dini</w:t>
      </w:r>
      <w:r w:rsidR="002B1813">
        <w:rPr>
          <w:color w:val="0C1F26"/>
        </w:rPr>
        <w:t xml:space="preserve"> oleh Dinas Kesehatan dan instansi terkait</w:t>
      </w:r>
      <w:r w:rsidRPr="00C60352">
        <w:rPr>
          <w:color w:val="0C1F26"/>
        </w:rPr>
        <w:t xml:space="preserve">. Model peramalan </w:t>
      </w:r>
      <w:r w:rsidR="002B1813">
        <w:rPr>
          <w:color w:val="0C1F26"/>
        </w:rPr>
        <w:t xml:space="preserve">ini dapat </w:t>
      </w:r>
      <w:r w:rsidR="002B1813">
        <w:rPr>
          <w:color w:val="0C1F26"/>
        </w:rPr>
        <w:lastRenderedPageBreak/>
        <w:t xml:space="preserve">membantu menentukan tindakan selanjutnya dalam memberantas penyakit TB. </w:t>
      </w:r>
    </w:p>
    <w:p w:rsidR="00BF416C" w:rsidRDefault="00BF416C" w:rsidP="00D23F62">
      <w:pPr>
        <w:widowControl/>
        <w:jc w:val="both"/>
        <w:rPr>
          <w:color w:val="0C1F26"/>
        </w:rPr>
      </w:pPr>
      <w:r>
        <w:rPr>
          <w:color w:val="0C1F26"/>
        </w:rPr>
        <w:t>Terdapat b</w:t>
      </w:r>
      <w:r w:rsidR="00872537" w:rsidRPr="00872537">
        <w:rPr>
          <w:color w:val="0C1F26"/>
        </w:rPr>
        <w:t xml:space="preserve">anyak metode statistik </w:t>
      </w:r>
      <w:r>
        <w:rPr>
          <w:color w:val="0C1F26"/>
        </w:rPr>
        <w:t xml:space="preserve">yang dapat </w:t>
      </w:r>
      <w:r w:rsidR="00872537" w:rsidRPr="00872537">
        <w:rPr>
          <w:color w:val="0C1F26"/>
        </w:rPr>
        <w:t xml:space="preserve">digunakan untuk meramalkan penyakit menular, seperti </w:t>
      </w:r>
      <w:r w:rsidRPr="00BF416C">
        <w:rPr>
          <w:color w:val="0C1F26"/>
        </w:rPr>
        <w:t>regression d</w:t>
      </w:r>
      <w:r>
        <w:rPr>
          <w:color w:val="0C1F26"/>
        </w:rPr>
        <w:t>an</w:t>
      </w:r>
      <w:r w:rsidRPr="00BF416C">
        <w:rPr>
          <w:color w:val="0C1F26"/>
        </w:rPr>
        <w:t xml:space="preserve"> exponential smoothing, autoregressive integrated moving average (ARIMA) </w:t>
      </w:r>
      <w:r>
        <w:rPr>
          <w:color w:val="0C1F26"/>
        </w:rPr>
        <w:t>dan</w:t>
      </w:r>
      <w:r w:rsidRPr="00BF416C">
        <w:rPr>
          <w:color w:val="0C1F26"/>
        </w:rPr>
        <w:t xml:space="preserve"> support vector machine (SVM)</w:t>
      </w:r>
      <w:r>
        <w:rPr>
          <w:color w:val="0C1F26"/>
        </w:rPr>
        <w:t xml:space="preserve"> </w:t>
      </w:r>
      <w:r>
        <w:rPr>
          <w:color w:val="0C1F26"/>
        </w:rPr>
        <w:fldChar w:fldCharType="begin" w:fldLock="1"/>
      </w:r>
      <w:r>
        <w:rPr>
          <w:color w:val="0C1F26"/>
        </w:rPr>
        <w:instrText>ADDIN CSL_CITATION {"citationItems":[{"id":"ITEM-1","itemData":{"DOI":"10.1371/journal.pone.0088075","ISSN":"19326203","abstract":"Public health surveillance systems provide valuable data for reliable predication of future epidemic events. This paper describes a study that used nine types of infectious disease data collected through a national public health surveillance system in mainland China to evaluate and compare the performances of four time series methods, namely, two decomposition methods (regression and exponential smoothing), autoregressive integrated moving average (ARIMA) and support vector machine (SVM). The data obtained from 2005 to 2011 and in 2012 were used as modeling and forecasting samples, respectively. The performances were evaluated based on three metrics: mean absolute error (MAE), mean absolute percentage error (MAPE), and mean square error (MSE). The accuracy of the statistical models in forecasting future epidemic disease proved their effectiveness in epidemiological surveillance. Although the comparisons found that no single method is completely superior to the others, the present study indeed highlighted that the SVMs outperforms the ARIMA model and decomposition methods in most cases. © 2014 Zhang et al.","author":[{"dropping-particle":"","family":"Zhang","given":"Xingyu","non-dropping-particle":"","parse-names":false,"suffix":""},{"dropping-particle":"","family":"Zhang","given":"Tao","non-dropping-particle":"","parse-names":false,"suffix":""},{"dropping-particle":"","family":"Young","given":"Alistair A.","non-dropping-particle":"","parse-names":false,"suffix":""},{"dropping-particle":"","family":"Li","given":"Xiaosong","non-dropping-particle":"","parse-names":false,"suffix":""}],"container-title":"PLoS ONE","id":"ITEM-1","issue":"2","issued":{"date-parts":[["2014","2","5"]]},"publisher":"Public Library of Science","title":"Applications and comparisons of four time series models in epidemiological surveillance data","type":"article-journal","volume":"9"},"uris":["http://www.mendeley.com/documents/?uuid=8d24fac1-361c-37a0-9b6d-01790968d0cb"]}],"mendeley":{"formattedCitation":"[5]","plainTextFormattedCitation":"[5]"},"properties":{"noteIndex":0},"schema":"https://github.com/citation-style-language/schema/raw/master/csl-citation.json"}</w:instrText>
      </w:r>
      <w:r>
        <w:rPr>
          <w:color w:val="0C1F26"/>
        </w:rPr>
        <w:fldChar w:fldCharType="separate"/>
      </w:r>
      <w:r w:rsidRPr="00BF416C">
        <w:rPr>
          <w:noProof/>
          <w:color w:val="0C1F26"/>
        </w:rPr>
        <w:t>[5]</w:t>
      </w:r>
      <w:r>
        <w:rPr>
          <w:color w:val="0C1F26"/>
        </w:rPr>
        <w:fldChar w:fldCharType="end"/>
      </w:r>
    </w:p>
    <w:p w:rsidR="00BF416C" w:rsidRDefault="00BF416C" w:rsidP="00D23F62">
      <w:pPr>
        <w:widowControl/>
        <w:jc w:val="both"/>
        <w:rPr>
          <w:color w:val="0C1F26"/>
        </w:rPr>
      </w:pPr>
    </w:p>
    <w:p w:rsidR="00C60352" w:rsidRDefault="00C60352" w:rsidP="00C60352">
      <w:pPr>
        <w:widowControl/>
        <w:jc w:val="both"/>
        <w:rPr>
          <w:color w:val="0C1F26"/>
        </w:rPr>
      </w:pPr>
      <w:r w:rsidRPr="00C60352">
        <w:rPr>
          <w:color w:val="0C1F26"/>
        </w:rPr>
        <w:t xml:space="preserve">Model ini </w:t>
      </w:r>
      <w:r w:rsidR="002B1813">
        <w:rPr>
          <w:color w:val="0C1F26"/>
        </w:rPr>
        <w:t xml:space="preserve">memperkirakan </w:t>
      </w:r>
      <w:r w:rsidRPr="00C60352">
        <w:rPr>
          <w:color w:val="0C1F26"/>
        </w:rPr>
        <w:t xml:space="preserve">bahwa data saat ini </w:t>
      </w:r>
      <w:r w:rsidR="002B1813">
        <w:rPr>
          <w:color w:val="0C1F26"/>
        </w:rPr>
        <w:t xml:space="preserve">ada </w:t>
      </w:r>
      <w:r w:rsidRPr="00C60352">
        <w:rPr>
          <w:color w:val="0C1F26"/>
        </w:rPr>
        <w:t>hubungan linier dengan data masa lalu dan kesalahan masa lalu dari serangkaian waktu. Namun, masalah dunia nyata menunjukkan ketidakpastian dan seringkali kompleks dan nonlinier, oleh karena itu pendekatan linier mungkin tidak cocok untuk kasus di mana variabel independen dan dependen berada dalam hubungan nonlinear</w:t>
      </w:r>
    </w:p>
    <w:p w:rsidR="00981BE6" w:rsidRPr="00A77BEF" w:rsidRDefault="00981BE6" w:rsidP="00D23F62">
      <w:pPr>
        <w:widowControl/>
        <w:jc w:val="both"/>
        <w:rPr>
          <w:color w:val="0C1F26"/>
        </w:rPr>
      </w:pPr>
    </w:p>
    <w:p w:rsidR="00981BE6" w:rsidRPr="00981BE6" w:rsidRDefault="00981BE6" w:rsidP="00981BE6">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Methods</w:t>
      </w:r>
    </w:p>
    <w:p w:rsidR="00981BE6" w:rsidRDefault="00981BE6" w:rsidP="00981BE6">
      <w:pPr>
        <w:widowControl/>
        <w:rPr>
          <w:color w:val="0C1F26"/>
          <w:sz w:val="16"/>
          <w:szCs w:val="16"/>
        </w:rPr>
      </w:pPr>
    </w:p>
    <w:p w:rsidR="00C922BF" w:rsidRDefault="00C922BF" w:rsidP="00C922BF">
      <w:pPr>
        <w:widowControl/>
        <w:jc w:val="both"/>
        <w:rPr>
          <w:color w:val="0C1F26"/>
        </w:rPr>
      </w:pPr>
    </w:p>
    <w:p w:rsidR="00C922BF" w:rsidRDefault="00C922BF" w:rsidP="00C922BF">
      <w:pPr>
        <w:widowControl/>
        <w:jc w:val="both"/>
        <w:rPr>
          <w:color w:val="0C1F26"/>
        </w:rPr>
      </w:pPr>
      <w:r>
        <w:rPr>
          <w:color w:val="0C1F26"/>
        </w:rPr>
        <w:t>M</w:t>
      </w:r>
      <w:r w:rsidRPr="00C922BF">
        <w:rPr>
          <w:color w:val="0C1F26"/>
        </w:rPr>
        <w:t>etode prediksi</w:t>
      </w:r>
      <w:r>
        <w:rPr>
          <w:color w:val="0C1F26"/>
        </w:rPr>
        <w:t xml:space="preserve"> </w:t>
      </w:r>
      <w:r w:rsidRPr="00C922BF">
        <w:rPr>
          <w:color w:val="0C1F26"/>
        </w:rPr>
        <w:t>time series</w:t>
      </w:r>
      <w:r>
        <w:rPr>
          <w:color w:val="0C1F26"/>
        </w:rPr>
        <w:t xml:space="preserve"> menggunakan </w:t>
      </w:r>
      <w:r w:rsidRPr="00C922BF">
        <w:rPr>
          <w:i/>
          <w:color w:val="0C1F26"/>
        </w:rPr>
        <w:t>Auto Regressive Integrated Moving Average</w:t>
      </w:r>
      <w:r w:rsidRPr="00C922BF">
        <w:rPr>
          <w:color w:val="0C1F26"/>
        </w:rPr>
        <w:t xml:space="preserve"> (ARIMA), </w:t>
      </w:r>
      <w:r w:rsidR="009B7AF1">
        <w:rPr>
          <w:color w:val="0C1F26"/>
        </w:rPr>
        <w:t>yaitu</w:t>
      </w:r>
      <w:r w:rsidRPr="00C922BF">
        <w:rPr>
          <w:color w:val="0C1F26"/>
        </w:rPr>
        <w:t xml:space="preserve"> metode </w:t>
      </w:r>
      <w:r w:rsidR="00872537">
        <w:rPr>
          <w:color w:val="0C1F26"/>
        </w:rPr>
        <w:t xml:space="preserve">yang </w:t>
      </w:r>
      <w:r>
        <w:rPr>
          <w:color w:val="0C1F26"/>
        </w:rPr>
        <w:t xml:space="preserve">menggunakan pendekatan kuantitatif </w:t>
      </w:r>
      <w:r w:rsidRPr="00C922BF">
        <w:rPr>
          <w:color w:val="0C1F26"/>
        </w:rPr>
        <w:t xml:space="preserve">masa </w:t>
      </w:r>
      <w:r w:rsidR="00872537">
        <w:rPr>
          <w:color w:val="0C1F26"/>
        </w:rPr>
        <w:t>lalu</w:t>
      </w:r>
      <w:r w:rsidRPr="00C922BF">
        <w:rPr>
          <w:color w:val="0C1F26"/>
        </w:rPr>
        <w:t xml:space="preserve"> dikumpulkan dan dijadikan </w:t>
      </w:r>
      <w:r>
        <w:rPr>
          <w:color w:val="0C1F26"/>
        </w:rPr>
        <w:t>acuan untuk peramalan masa depan.</w:t>
      </w:r>
      <w:r>
        <w:rPr>
          <w:color w:val="0C1F26"/>
        </w:rPr>
        <w:fldChar w:fldCharType="begin" w:fldLock="1"/>
      </w:r>
      <w:r w:rsidR="00BF416C">
        <w:rPr>
          <w:color w:val="0C1F26"/>
        </w:rPr>
        <w:instrText>ADDIN CSL_CITATION {"citationItems":[{"id":"ITEM-1","itemData":{"author":[{"dropping-particle":"","family":"Wiyanti","given":"Dian","non-dropping-particle":"","parse-names":false,"suffix":""},{"dropping-particle":"","family":"Pulungan","given":"Reza","non-dropping-particle":"","parse-names":false,"suffix":""}],"id":"ITEM-1","issued":{"date-parts":[["2012"]]},"title":"Peramalan Deret Waktu Menggunakan Model Fungsi Basis Radial (RBF) dan Auto Regressive Integrated Moving Average (ARIMA) File Sharing System Using Samba For Mathematics Laborator View project thinning of various local character View project","type":"report"},"uris":["http://www.mendeley.com/documents/?uuid=3dbf9485-6130-373b-bfcf-feb7db8716f8"]}],"mendeley":{"formattedCitation":"[6]","plainTextFormattedCitation":"[6]","previouslyFormattedCitation":"[5]"},"properties":{"noteIndex":0},"schema":"https://github.com/citation-style-language/schema/raw/master/csl-citation.json"}</w:instrText>
      </w:r>
      <w:r>
        <w:rPr>
          <w:color w:val="0C1F26"/>
        </w:rPr>
        <w:fldChar w:fldCharType="separate"/>
      </w:r>
      <w:r w:rsidR="00BF416C" w:rsidRPr="00BF416C">
        <w:rPr>
          <w:noProof/>
          <w:color w:val="0C1F26"/>
        </w:rPr>
        <w:t>[6]</w:t>
      </w:r>
      <w:r>
        <w:rPr>
          <w:color w:val="0C1F26"/>
        </w:rPr>
        <w:fldChar w:fldCharType="end"/>
      </w:r>
    </w:p>
    <w:p w:rsidR="00C922BF" w:rsidRDefault="00C922BF" w:rsidP="00C922BF">
      <w:pPr>
        <w:widowControl/>
        <w:jc w:val="both"/>
        <w:rPr>
          <w:color w:val="0C1F26"/>
        </w:rPr>
      </w:pPr>
    </w:p>
    <w:p w:rsidR="00394F36" w:rsidRDefault="00394F36" w:rsidP="00981BE6">
      <w:pPr>
        <w:widowControl/>
        <w:rPr>
          <w:color w:val="0C1F26"/>
          <w:sz w:val="16"/>
          <w:szCs w:val="16"/>
        </w:rPr>
      </w:pPr>
    </w:p>
    <w:p w:rsidR="00394F36" w:rsidRDefault="00394F36" w:rsidP="00981BE6">
      <w:pPr>
        <w:widowControl/>
        <w:rPr>
          <w:color w:val="0C1F26"/>
          <w:sz w:val="16"/>
          <w:szCs w:val="16"/>
        </w:rPr>
      </w:pPr>
    </w:p>
    <w:p w:rsidR="00394F36" w:rsidRDefault="00394F36" w:rsidP="00981BE6">
      <w:pPr>
        <w:widowControl/>
        <w:rPr>
          <w:color w:val="0C1F26"/>
          <w:sz w:val="16"/>
          <w:szCs w:val="16"/>
        </w:rPr>
      </w:pPr>
    </w:p>
    <w:p w:rsidR="00394F36" w:rsidRDefault="00394F36" w:rsidP="00981BE6">
      <w:pPr>
        <w:widowControl/>
        <w:rPr>
          <w:color w:val="0C1F26"/>
          <w:sz w:val="16"/>
          <w:szCs w:val="16"/>
        </w:rPr>
      </w:pPr>
    </w:p>
    <w:p w:rsidR="00394F36" w:rsidRDefault="00394F36" w:rsidP="00981BE6">
      <w:pPr>
        <w:widowControl/>
        <w:rPr>
          <w:color w:val="0C1F26"/>
          <w:sz w:val="16"/>
          <w:szCs w:val="16"/>
        </w:rPr>
      </w:pPr>
    </w:p>
    <w:p w:rsidR="00394F36" w:rsidRDefault="00394F36" w:rsidP="00981BE6">
      <w:pPr>
        <w:widowControl/>
        <w:rPr>
          <w:color w:val="0C1F26"/>
          <w:sz w:val="16"/>
          <w:szCs w:val="16"/>
        </w:rPr>
      </w:pPr>
    </w:p>
    <w:p w:rsidR="00394F36" w:rsidRDefault="00394F36" w:rsidP="00981BE6">
      <w:pPr>
        <w:widowControl/>
        <w:rPr>
          <w:color w:val="0C1F26"/>
          <w:sz w:val="16"/>
          <w:szCs w:val="16"/>
        </w:rPr>
      </w:pPr>
    </w:p>
    <w:p w:rsidR="004958DA" w:rsidRDefault="004958DA" w:rsidP="00981BE6">
      <w:pPr>
        <w:widowControl/>
        <w:rPr>
          <w:color w:val="0C1F26"/>
          <w:sz w:val="16"/>
          <w:szCs w:val="16"/>
        </w:rPr>
      </w:pPr>
    </w:p>
    <w:p w:rsidR="00981BE6" w:rsidRPr="00981BE6" w:rsidRDefault="00981BE6" w:rsidP="00981BE6">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Results</w:t>
      </w:r>
    </w:p>
    <w:p w:rsidR="00981BE6" w:rsidRDefault="00981BE6" w:rsidP="00981BE6">
      <w:pPr>
        <w:widowControl/>
        <w:rPr>
          <w:color w:val="0C1F26"/>
          <w:sz w:val="16"/>
          <w:szCs w:val="16"/>
        </w:rPr>
      </w:pPr>
    </w:p>
    <w:p w:rsidR="00117302" w:rsidRDefault="00117302" w:rsidP="00117302"/>
    <w:p w:rsidR="009B7AF1" w:rsidRDefault="009B7AF1" w:rsidP="00117302"/>
    <w:p w:rsidR="00E43B20" w:rsidRDefault="00117302" w:rsidP="00981BE6">
      <w:pPr>
        <w:widowControl/>
        <w:rPr>
          <w:color w:val="0C1F26"/>
          <w:sz w:val="16"/>
          <w:szCs w:val="16"/>
        </w:rPr>
      </w:pPr>
      <w:r w:rsidRPr="00983ACA">
        <w:rPr>
          <w:noProof/>
        </w:rPr>
        <w:drawing>
          <wp:inline distT="0" distB="0" distL="0" distR="0" wp14:anchorId="21E84BBE" wp14:editId="67AE851F">
            <wp:extent cx="3064510" cy="1151400"/>
            <wp:effectExtent l="0" t="0" r="2540" b="0"/>
            <wp:docPr id="1" name="Picture 1" descr="/var/folders/61/002vjpdj3n35p7d_s4lztqx80000gn/T/com.microsoft.Word/Content.MSO/B24EA1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61/002vjpdj3n35p7d_s4lztqx80000gn/T/com.microsoft.Word/Content.MSO/B24EA129.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4510" cy="1151400"/>
                    </a:xfrm>
                    <a:prstGeom prst="rect">
                      <a:avLst/>
                    </a:prstGeom>
                    <a:noFill/>
                    <a:ln>
                      <a:noFill/>
                    </a:ln>
                  </pic:spPr>
                </pic:pic>
              </a:graphicData>
            </a:graphic>
          </wp:inline>
        </w:drawing>
      </w:r>
    </w:p>
    <w:p w:rsidR="00117302" w:rsidRDefault="00117302" w:rsidP="00600AA5">
      <w:pPr>
        <w:jc w:val="center"/>
      </w:pPr>
      <w:r>
        <w:rPr>
          <w:color w:val="0C1F26"/>
          <w:sz w:val="16"/>
          <w:szCs w:val="16"/>
        </w:rPr>
        <w:t xml:space="preserve">Gambar 1 : </w:t>
      </w:r>
      <w:r>
        <w:t>Plot TB (+) berdasarkan bulan dan tahun</w:t>
      </w:r>
    </w:p>
    <w:p w:rsidR="00117302" w:rsidRDefault="00117302" w:rsidP="00117302"/>
    <w:p w:rsidR="00E43B20" w:rsidRDefault="00E43B20" w:rsidP="00981BE6">
      <w:pPr>
        <w:widowControl/>
        <w:rPr>
          <w:color w:val="0C1F26"/>
          <w:sz w:val="16"/>
          <w:szCs w:val="16"/>
        </w:rPr>
      </w:pPr>
    </w:p>
    <w:p w:rsidR="00E43B20" w:rsidRDefault="00117302" w:rsidP="00981BE6">
      <w:pPr>
        <w:widowControl/>
        <w:rPr>
          <w:color w:val="0C1F26"/>
          <w:sz w:val="16"/>
          <w:szCs w:val="16"/>
        </w:rPr>
      </w:pPr>
      <w:r>
        <w:rPr>
          <w:noProof/>
          <w:color w:val="0C1F26"/>
          <w:sz w:val="16"/>
          <w:szCs w:val="16"/>
        </w:rPr>
        <w:drawing>
          <wp:inline distT="0" distB="0" distL="0" distR="0">
            <wp:extent cx="3064510" cy="21024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_01.JPG"/>
                    <pic:cNvPicPr/>
                  </pic:nvPicPr>
                  <pic:blipFill>
                    <a:blip r:embed="rId7">
                      <a:extLst>
                        <a:ext uri="{28A0092B-C50C-407E-A947-70E740481C1C}">
                          <a14:useLocalDpi xmlns:a14="http://schemas.microsoft.com/office/drawing/2010/main" val="0"/>
                        </a:ext>
                      </a:extLst>
                    </a:blip>
                    <a:stretch>
                      <a:fillRect/>
                    </a:stretch>
                  </pic:blipFill>
                  <pic:spPr>
                    <a:xfrm>
                      <a:off x="0" y="0"/>
                      <a:ext cx="3064510" cy="2102485"/>
                    </a:xfrm>
                    <a:prstGeom prst="rect">
                      <a:avLst/>
                    </a:prstGeom>
                  </pic:spPr>
                </pic:pic>
              </a:graphicData>
            </a:graphic>
          </wp:inline>
        </w:drawing>
      </w:r>
    </w:p>
    <w:p w:rsidR="00E43B20" w:rsidRDefault="00E43B20" w:rsidP="00981BE6">
      <w:pPr>
        <w:widowControl/>
        <w:rPr>
          <w:color w:val="0C1F26"/>
          <w:sz w:val="16"/>
          <w:szCs w:val="16"/>
        </w:rPr>
      </w:pPr>
    </w:p>
    <w:p w:rsidR="00E43B20" w:rsidRDefault="00117302" w:rsidP="00600AA5">
      <w:pPr>
        <w:widowControl/>
        <w:jc w:val="center"/>
        <w:rPr>
          <w:color w:val="0C1F26"/>
          <w:sz w:val="16"/>
          <w:szCs w:val="16"/>
        </w:rPr>
      </w:pPr>
      <w:r>
        <w:rPr>
          <w:color w:val="0C1F26"/>
          <w:sz w:val="16"/>
          <w:szCs w:val="16"/>
        </w:rPr>
        <w:t>Gambar 2 : Standardized Residual</w:t>
      </w:r>
    </w:p>
    <w:p w:rsidR="00E43B20" w:rsidRDefault="00E43B20" w:rsidP="00981BE6">
      <w:pPr>
        <w:widowControl/>
        <w:rPr>
          <w:color w:val="0C1F26"/>
          <w:sz w:val="16"/>
          <w:szCs w:val="16"/>
        </w:rPr>
      </w:pPr>
    </w:p>
    <w:p w:rsidR="00117302" w:rsidRDefault="00117302" w:rsidP="00981BE6">
      <w:pPr>
        <w:widowControl/>
        <w:rPr>
          <w:color w:val="0C1F26"/>
          <w:sz w:val="16"/>
          <w:szCs w:val="16"/>
        </w:rPr>
      </w:pPr>
    </w:p>
    <w:p w:rsidR="00117302" w:rsidRDefault="00117302" w:rsidP="00981BE6">
      <w:pPr>
        <w:widowControl/>
        <w:rPr>
          <w:color w:val="0C1F26"/>
          <w:sz w:val="16"/>
          <w:szCs w:val="16"/>
        </w:rPr>
      </w:pPr>
      <w:r>
        <w:rPr>
          <w:noProof/>
          <w:color w:val="0C1F26"/>
          <w:sz w:val="16"/>
          <w:szCs w:val="16"/>
        </w:rPr>
        <w:drawing>
          <wp:inline distT="0" distB="0" distL="0" distR="0">
            <wp:extent cx="3064510" cy="22491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mbar_02.JPG"/>
                    <pic:cNvPicPr/>
                  </pic:nvPicPr>
                  <pic:blipFill>
                    <a:blip r:embed="rId8">
                      <a:extLst>
                        <a:ext uri="{28A0092B-C50C-407E-A947-70E740481C1C}">
                          <a14:useLocalDpi xmlns:a14="http://schemas.microsoft.com/office/drawing/2010/main" val="0"/>
                        </a:ext>
                      </a:extLst>
                    </a:blip>
                    <a:stretch>
                      <a:fillRect/>
                    </a:stretch>
                  </pic:blipFill>
                  <pic:spPr>
                    <a:xfrm>
                      <a:off x="0" y="0"/>
                      <a:ext cx="3064510" cy="2249170"/>
                    </a:xfrm>
                    <a:prstGeom prst="rect">
                      <a:avLst/>
                    </a:prstGeom>
                  </pic:spPr>
                </pic:pic>
              </a:graphicData>
            </a:graphic>
          </wp:inline>
        </w:drawing>
      </w:r>
    </w:p>
    <w:p w:rsidR="00117302" w:rsidRDefault="00117302" w:rsidP="00117302">
      <w:pPr>
        <w:widowControl/>
        <w:jc w:val="center"/>
        <w:rPr>
          <w:color w:val="0C1F26"/>
          <w:sz w:val="16"/>
          <w:szCs w:val="16"/>
        </w:rPr>
      </w:pPr>
      <w:r>
        <w:rPr>
          <w:color w:val="0C1F26"/>
          <w:sz w:val="16"/>
          <w:szCs w:val="16"/>
        </w:rPr>
        <w:t>Gambar 3 : Histogram Plus Estimated Density</w:t>
      </w:r>
    </w:p>
    <w:p w:rsidR="00E43B20" w:rsidRDefault="00E43B20" w:rsidP="00981BE6">
      <w:pPr>
        <w:widowControl/>
        <w:rPr>
          <w:color w:val="0C1F26"/>
          <w:sz w:val="16"/>
          <w:szCs w:val="16"/>
        </w:rPr>
      </w:pPr>
    </w:p>
    <w:p w:rsidR="00117302" w:rsidRDefault="00117302" w:rsidP="00981BE6">
      <w:pPr>
        <w:widowControl/>
        <w:rPr>
          <w:color w:val="0C1F26"/>
          <w:sz w:val="16"/>
          <w:szCs w:val="16"/>
        </w:rPr>
      </w:pPr>
    </w:p>
    <w:p w:rsidR="007476E1" w:rsidRDefault="007476E1" w:rsidP="00981BE6">
      <w:pPr>
        <w:widowControl/>
        <w:rPr>
          <w:color w:val="0C1F26"/>
          <w:sz w:val="16"/>
          <w:szCs w:val="16"/>
        </w:rPr>
      </w:pPr>
    </w:p>
    <w:p w:rsidR="007476E1" w:rsidRDefault="007476E1" w:rsidP="00981BE6">
      <w:pPr>
        <w:widowControl/>
        <w:rPr>
          <w:color w:val="0C1F26"/>
          <w:sz w:val="16"/>
          <w:szCs w:val="16"/>
        </w:rPr>
      </w:pPr>
    </w:p>
    <w:p w:rsidR="00117302" w:rsidRDefault="00117302" w:rsidP="00981BE6">
      <w:pPr>
        <w:widowControl/>
        <w:rPr>
          <w:color w:val="0C1F26"/>
          <w:sz w:val="16"/>
          <w:szCs w:val="16"/>
        </w:rPr>
      </w:pPr>
    </w:p>
    <w:p w:rsidR="00117302" w:rsidRDefault="00117302" w:rsidP="00981BE6">
      <w:pPr>
        <w:widowControl/>
        <w:rPr>
          <w:color w:val="0C1F26"/>
          <w:sz w:val="16"/>
          <w:szCs w:val="16"/>
        </w:rPr>
      </w:pPr>
      <w:r>
        <w:rPr>
          <w:noProof/>
          <w:color w:val="0C1F26"/>
          <w:sz w:val="16"/>
          <w:szCs w:val="16"/>
        </w:rPr>
        <w:drawing>
          <wp:inline distT="0" distB="0" distL="0" distR="0">
            <wp:extent cx="3064510" cy="223393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_03.JPG"/>
                    <pic:cNvPicPr/>
                  </pic:nvPicPr>
                  <pic:blipFill>
                    <a:blip r:embed="rId9">
                      <a:extLst>
                        <a:ext uri="{28A0092B-C50C-407E-A947-70E740481C1C}">
                          <a14:useLocalDpi xmlns:a14="http://schemas.microsoft.com/office/drawing/2010/main" val="0"/>
                        </a:ext>
                      </a:extLst>
                    </a:blip>
                    <a:stretch>
                      <a:fillRect/>
                    </a:stretch>
                  </pic:blipFill>
                  <pic:spPr>
                    <a:xfrm>
                      <a:off x="0" y="0"/>
                      <a:ext cx="3064510" cy="2233930"/>
                    </a:xfrm>
                    <a:prstGeom prst="rect">
                      <a:avLst/>
                    </a:prstGeom>
                  </pic:spPr>
                </pic:pic>
              </a:graphicData>
            </a:graphic>
          </wp:inline>
        </w:drawing>
      </w:r>
    </w:p>
    <w:p w:rsidR="00117302" w:rsidRDefault="00117302" w:rsidP="00117302">
      <w:pPr>
        <w:widowControl/>
        <w:jc w:val="center"/>
        <w:rPr>
          <w:color w:val="0C1F26"/>
          <w:sz w:val="16"/>
          <w:szCs w:val="16"/>
        </w:rPr>
      </w:pPr>
      <w:r>
        <w:rPr>
          <w:color w:val="0C1F26"/>
          <w:sz w:val="16"/>
          <w:szCs w:val="16"/>
        </w:rPr>
        <w:t>Gambar 4 : Normal Q-Q</w:t>
      </w:r>
    </w:p>
    <w:p w:rsidR="00117302" w:rsidRDefault="00117302" w:rsidP="00117302">
      <w:pPr>
        <w:widowControl/>
        <w:rPr>
          <w:color w:val="0C1F26"/>
          <w:sz w:val="16"/>
          <w:szCs w:val="16"/>
        </w:rPr>
      </w:pPr>
    </w:p>
    <w:p w:rsidR="00117302" w:rsidRDefault="00117302" w:rsidP="00117302">
      <w:pPr>
        <w:widowControl/>
        <w:rPr>
          <w:color w:val="0C1F26"/>
          <w:sz w:val="16"/>
          <w:szCs w:val="16"/>
        </w:rPr>
      </w:pPr>
    </w:p>
    <w:p w:rsidR="00117302" w:rsidRDefault="00117302" w:rsidP="00117302">
      <w:pPr>
        <w:widowControl/>
        <w:rPr>
          <w:color w:val="0C1F26"/>
          <w:sz w:val="16"/>
          <w:szCs w:val="16"/>
        </w:rPr>
      </w:pPr>
    </w:p>
    <w:p w:rsidR="00117302" w:rsidRDefault="00117302" w:rsidP="00117302">
      <w:pPr>
        <w:widowControl/>
        <w:rPr>
          <w:color w:val="0C1F26"/>
          <w:sz w:val="16"/>
          <w:szCs w:val="16"/>
        </w:rPr>
      </w:pPr>
    </w:p>
    <w:p w:rsidR="00117302" w:rsidRDefault="00117302" w:rsidP="00117302">
      <w:pPr>
        <w:widowControl/>
        <w:rPr>
          <w:color w:val="0C1F26"/>
          <w:sz w:val="16"/>
          <w:szCs w:val="16"/>
        </w:rPr>
      </w:pPr>
      <w:r>
        <w:rPr>
          <w:noProof/>
        </w:rPr>
        <w:lastRenderedPageBreak/>
        <w:drawing>
          <wp:inline distT="0" distB="0" distL="0" distR="0" wp14:anchorId="06B93B6B" wp14:editId="45C75EC6">
            <wp:extent cx="3064510" cy="22358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4510" cy="2235835"/>
                    </a:xfrm>
                    <a:prstGeom prst="rect">
                      <a:avLst/>
                    </a:prstGeom>
                  </pic:spPr>
                </pic:pic>
              </a:graphicData>
            </a:graphic>
          </wp:inline>
        </w:drawing>
      </w:r>
    </w:p>
    <w:p w:rsidR="00117302" w:rsidRDefault="00117302" w:rsidP="00117302">
      <w:pPr>
        <w:widowControl/>
        <w:jc w:val="center"/>
        <w:rPr>
          <w:color w:val="0C1F26"/>
          <w:sz w:val="16"/>
          <w:szCs w:val="16"/>
        </w:rPr>
      </w:pPr>
      <w:r>
        <w:rPr>
          <w:color w:val="0C1F26"/>
          <w:sz w:val="16"/>
          <w:szCs w:val="16"/>
        </w:rPr>
        <w:t>Gambar 5 : Correlogram</w:t>
      </w:r>
    </w:p>
    <w:p w:rsidR="00117302" w:rsidRDefault="00117302" w:rsidP="00117302">
      <w:pPr>
        <w:widowControl/>
        <w:rPr>
          <w:color w:val="0C1F26"/>
          <w:sz w:val="16"/>
          <w:szCs w:val="16"/>
        </w:rPr>
      </w:pPr>
    </w:p>
    <w:p w:rsidR="00117302" w:rsidRDefault="00117302" w:rsidP="00117302">
      <w:pPr>
        <w:widowControl/>
        <w:rPr>
          <w:color w:val="0C1F26"/>
          <w:sz w:val="16"/>
          <w:szCs w:val="16"/>
        </w:rPr>
      </w:pPr>
    </w:p>
    <w:p w:rsidR="00D26086" w:rsidRDefault="00D26086" w:rsidP="00981BE6">
      <w:pPr>
        <w:widowControl/>
        <w:rPr>
          <w:color w:val="0C1F26"/>
          <w:sz w:val="16"/>
          <w:szCs w:val="16"/>
        </w:rPr>
      </w:pPr>
    </w:p>
    <w:p w:rsidR="00981BE6" w:rsidRPr="00981BE6" w:rsidRDefault="00981BE6" w:rsidP="00981BE6">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Discussion</w:t>
      </w:r>
    </w:p>
    <w:p w:rsidR="00981BE6" w:rsidRDefault="00981BE6" w:rsidP="00981BE6">
      <w:pPr>
        <w:widowControl/>
        <w:rPr>
          <w:color w:val="0C1F26"/>
          <w:sz w:val="16"/>
          <w:szCs w:val="16"/>
        </w:rPr>
      </w:pPr>
    </w:p>
    <w:p w:rsidR="00981BE6" w:rsidRDefault="00981BE6" w:rsidP="00981BE6">
      <w:pPr>
        <w:widowControl/>
        <w:rPr>
          <w:color w:val="0C1F26"/>
          <w:sz w:val="16"/>
          <w:szCs w:val="16"/>
        </w:rPr>
      </w:pPr>
    </w:p>
    <w:p w:rsidR="00DA4D02" w:rsidRDefault="00117302" w:rsidP="00981BE6">
      <w:pPr>
        <w:widowControl/>
        <w:rPr>
          <w:color w:val="0C1F26"/>
          <w:sz w:val="16"/>
          <w:szCs w:val="16"/>
        </w:rPr>
      </w:pPr>
      <w:r>
        <w:rPr>
          <w:noProof/>
          <w:color w:val="0C1F26"/>
          <w:sz w:val="16"/>
          <w:szCs w:val="16"/>
        </w:rPr>
        <w:drawing>
          <wp:inline distT="0" distB="0" distL="0" distR="0">
            <wp:extent cx="3064510" cy="189103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mbar_05.JPG"/>
                    <pic:cNvPicPr/>
                  </pic:nvPicPr>
                  <pic:blipFill>
                    <a:blip r:embed="rId11">
                      <a:extLst>
                        <a:ext uri="{28A0092B-C50C-407E-A947-70E740481C1C}">
                          <a14:useLocalDpi xmlns:a14="http://schemas.microsoft.com/office/drawing/2010/main" val="0"/>
                        </a:ext>
                      </a:extLst>
                    </a:blip>
                    <a:stretch>
                      <a:fillRect/>
                    </a:stretch>
                  </pic:blipFill>
                  <pic:spPr>
                    <a:xfrm>
                      <a:off x="0" y="0"/>
                      <a:ext cx="3064510" cy="1891030"/>
                    </a:xfrm>
                    <a:prstGeom prst="rect">
                      <a:avLst/>
                    </a:prstGeom>
                  </pic:spPr>
                </pic:pic>
              </a:graphicData>
            </a:graphic>
          </wp:inline>
        </w:drawing>
      </w:r>
    </w:p>
    <w:p w:rsidR="00117302" w:rsidRDefault="00117302" w:rsidP="00117302">
      <w:pPr>
        <w:widowControl/>
        <w:jc w:val="center"/>
        <w:rPr>
          <w:color w:val="0C1F26"/>
          <w:sz w:val="16"/>
          <w:szCs w:val="16"/>
        </w:rPr>
      </w:pPr>
      <w:r>
        <w:rPr>
          <w:color w:val="0C1F26"/>
          <w:sz w:val="16"/>
          <w:szCs w:val="16"/>
        </w:rPr>
        <w:t>Gambar 6 : Static Forecast</w:t>
      </w:r>
    </w:p>
    <w:p w:rsidR="00117302" w:rsidRDefault="00117302" w:rsidP="00981BE6">
      <w:pPr>
        <w:widowControl/>
        <w:rPr>
          <w:color w:val="0C1F26"/>
          <w:sz w:val="16"/>
          <w:szCs w:val="16"/>
        </w:rPr>
      </w:pPr>
    </w:p>
    <w:p w:rsidR="00117302" w:rsidRDefault="00117302" w:rsidP="00981BE6">
      <w:pPr>
        <w:widowControl/>
        <w:rPr>
          <w:color w:val="0C1F26"/>
          <w:sz w:val="16"/>
          <w:szCs w:val="16"/>
        </w:rPr>
      </w:pPr>
    </w:p>
    <w:p w:rsidR="00117302" w:rsidRDefault="00117302" w:rsidP="007476E1">
      <w:pPr>
        <w:jc w:val="both"/>
      </w:pPr>
      <w:r>
        <w:t>Hasil prediksi dan data sebenarnya.</w:t>
      </w:r>
      <w:r w:rsidR="007476E1">
        <w:t xml:space="preserve"> </w:t>
      </w:r>
      <w:r>
        <w:t>Data di training dari tahun 2015-01-01 dan training/observasi dari tahun 2017-07</w:t>
      </w:r>
    </w:p>
    <w:p w:rsidR="00117302" w:rsidRDefault="00117302" w:rsidP="00117302"/>
    <w:p w:rsidR="00117302" w:rsidRDefault="00117302" w:rsidP="00117302"/>
    <w:p w:rsidR="00117302" w:rsidRDefault="00117302" w:rsidP="00117302"/>
    <w:p w:rsidR="00117302" w:rsidRDefault="00117302" w:rsidP="00117302">
      <w:pPr>
        <w:jc w:val="center"/>
      </w:pPr>
      <w:r>
        <w:t>Tabel 1 : Hasil perbandingan jumlah prediksi dan jumlah sebenarnya untuk TB (+)</w:t>
      </w:r>
    </w:p>
    <w:tbl>
      <w:tblPr>
        <w:tblW w:w="4495" w:type="dxa"/>
        <w:tblLook w:val="04A0" w:firstRow="1" w:lastRow="0" w:firstColumn="1" w:lastColumn="0" w:noHBand="0" w:noVBand="1"/>
      </w:tblPr>
      <w:tblGrid>
        <w:gridCol w:w="1615"/>
        <w:gridCol w:w="1350"/>
        <w:gridCol w:w="1530"/>
      </w:tblGrid>
      <w:tr w:rsidR="00117302" w:rsidRPr="00C86F02" w:rsidTr="00117302">
        <w:trPr>
          <w:trHeight w:val="32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302" w:rsidRPr="00C86F02" w:rsidRDefault="00117302" w:rsidP="00117302">
            <w:pPr>
              <w:jc w:val="center"/>
              <w:rPr>
                <w:rFonts w:ascii="Calibri" w:eastAsia="Times New Roman" w:hAnsi="Calibri" w:cs="Calibri"/>
                <w:color w:val="000000"/>
                <w:lang w:eastAsia="en-GB"/>
              </w:rPr>
            </w:pPr>
            <w:r w:rsidRPr="00C86F02">
              <w:rPr>
                <w:rFonts w:ascii="Calibri" w:eastAsia="Times New Roman" w:hAnsi="Calibri" w:cs="Calibri"/>
                <w:color w:val="000000"/>
                <w:lang w:eastAsia="en-GB"/>
              </w:rPr>
              <w:t>Tanggal</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117302" w:rsidRPr="00C86F02" w:rsidRDefault="00117302" w:rsidP="00117302">
            <w:pPr>
              <w:jc w:val="center"/>
              <w:rPr>
                <w:rFonts w:ascii="Calibri" w:eastAsia="Times New Roman" w:hAnsi="Calibri" w:cs="Calibri"/>
                <w:color w:val="000000"/>
                <w:lang w:eastAsia="en-GB"/>
              </w:rPr>
            </w:pPr>
            <w:r w:rsidRPr="00C86F02">
              <w:rPr>
                <w:rFonts w:ascii="Calibri" w:eastAsia="Times New Roman" w:hAnsi="Calibri" w:cs="Calibri"/>
                <w:color w:val="000000"/>
                <w:lang w:eastAsia="en-GB"/>
              </w:rPr>
              <w:t>Jumlah prediksi</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117302" w:rsidRPr="00C86F02" w:rsidRDefault="00117302" w:rsidP="00117302">
            <w:pPr>
              <w:jc w:val="center"/>
              <w:rPr>
                <w:rFonts w:ascii="Calibri" w:eastAsia="Times New Roman" w:hAnsi="Calibri" w:cs="Calibri"/>
                <w:color w:val="000000"/>
                <w:lang w:eastAsia="en-GB"/>
              </w:rPr>
            </w:pPr>
            <w:r w:rsidRPr="00C86F02">
              <w:rPr>
                <w:rFonts w:ascii="Calibri" w:eastAsia="Times New Roman" w:hAnsi="Calibri" w:cs="Calibri"/>
                <w:color w:val="000000"/>
                <w:lang w:eastAsia="en-GB"/>
              </w:rPr>
              <w:t>Jumlah sebenarnya</w:t>
            </w:r>
          </w:p>
        </w:tc>
      </w:tr>
      <w:tr w:rsidR="00117302" w:rsidRPr="00C86F02" w:rsidTr="00117302">
        <w:trPr>
          <w:trHeight w:val="38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01/07/2017</w:t>
            </w:r>
          </w:p>
        </w:tc>
        <w:tc>
          <w:tcPr>
            <w:tcW w:w="135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3.30</w:t>
            </w:r>
          </w:p>
        </w:tc>
        <w:tc>
          <w:tcPr>
            <w:tcW w:w="153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2.56</w:t>
            </w:r>
          </w:p>
        </w:tc>
      </w:tr>
      <w:tr w:rsidR="00117302" w:rsidRPr="00C86F02" w:rsidTr="00117302">
        <w:trPr>
          <w:trHeight w:val="38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01/08/2017</w:t>
            </w:r>
          </w:p>
        </w:tc>
        <w:tc>
          <w:tcPr>
            <w:tcW w:w="135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3.52</w:t>
            </w:r>
          </w:p>
        </w:tc>
        <w:tc>
          <w:tcPr>
            <w:tcW w:w="153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1.63</w:t>
            </w:r>
          </w:p>
        </w:tc>
      </w:tr>
      <w:tr w:rsidR="00117302" w:rsidRPr="00C86F02" w:rsidTr="00117302">
        <w:trPr>
          <w:trHeight w:val="38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01/09/2017</w:t>
            </w:r>
          </w:p>
        </w:tc>
        <w:tc>
          <w:tcPr>
            <w:tcW w:w="135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2.52</w:t>
            </w:r>
          </w:p>
        </w:tc>
        <w:tc>
          <w:tcPr>
            <w:tcW w:w="153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2.33</w:t>
            </w:r>
          </w:p>
        </w:tc>
      </w:tr>
      <w:tr w:rsidR="00117302" w:rsidRPr="00C86F02" w:rsidTr="00117302">
        <w:trPr>
          <w:trHeight w:val="38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01/10/2017</w:t>
            </w:r>
          </w:p>
        </w:tc>
        <w:tc>
          <w:tcPr>
            <w:tcW w:w="135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3.05</w:t>
            </w:r>
          </w:p>
        </w:tc>
        <w:tc>
          <w:tcPr>
            <w:tcW w:w="153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2.14</w:t>
            </w:r>
          </w:p>
        </w:tc>
      </w:tr>
      <w:tr w:rsidR="00117302" w:rsidRPr="00C86F02" w:rsidTr="00117302">
        <w:trPr>
          <w:trHeight w:val="38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01/11/2017</w:t>
            </w:r>
          </w:p>
        </w:tc>
        <w:tc>
          <w:tcPr>
            <w:tcW w:w="135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2.27</w:t>
            </w:r>
          </w:p>
        </w:tc>
        <w:tc>
          <w:tcPr>
            <w:tcW w:w="153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4.17</w:t>
            </w:r>
          </w:p>
        </w:tc>
      </w:tr>
      <w:tr w:rsidR="00117302" w:rsidRPr="00C86F02" w:rsidTr="00117302">
        <w:trPr>
          <w:trHeight w:val="38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01/12/2017</w:t>
            </w:r>
          </w:p>
        </w:tc>
        <w:tc>
          <w:tcPr>
            <w:tcW w:w="135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2.73</w:t>
            </w:r>
          </w:p>
        </w:tc>
        <w:tc>
          <w:tcPr>
            <w:tcW w:w="1530" w:type="dxa"/>
            <w:tcBorders>
              <w:top w:val="nil"/>
              <w:left w:val="nil"/>
              <w:bottom w:val="single" w:sz="4" w:space="0" w:color="auto"/>
              <w:right w:val="single" w:sz="4" w:space="0" w:color="auto"/>
            </w:tcBorders>
            <w:shd w:val="clear" w:color="auto" w:fill="auto"/>
            <w:noWrap/>
            <w:vAlign w:val="bottom"/>
            <w:hideMark/>
          </w:tcPr>
          <w:p w:rsidR="00117302" w:rsidRPr="00C86F02" w:rsidRDefault="00117302" w:rsidP="0061431B">
            <w:pPr>
              <w:jc w:val="right"/>
              <w:rPr>
                <w:rFonts w:ascii="Calibri" w:eastAsia="Times New Roman" w:hAnsi="Calibri" w:cs="Calibri"/>
                <w:color w:val="000000"/>
                <w:lang w:eastAsia="en-GB"/>
              </w:rPr>
            </w:pPr>
            <w:r w:rsidRPr="00C86F02">
              <w:rPr>
                <w:rFonts w:ascii="Calibri" w:eastAsia="Times New Roman" w:hAnsi="Calibri" w:cs="Calibri"/>
                <w:color w:val="000000"/>
                <w:lang w:eastAsia="en-GB"/>
              </w:rPr>
              <w:t>2.44</w:t>
            </w:r>
          </w:p>
        </w:tc>
      </w:tr>
    </w:tbl>
    <w:p w:rsidR="00117302" w:rsidRDefault="00117302" w:rsidP="00117302"/>
    <w:p w:rsidR="00117302" w:rsidRDefault="00117302" w:rsidP="00117302"/>
    <w:p w:rsidR="00117302" w:rsidRDefault="00117302" w:rsidP="00117302">
      <w:pPr>
        <w:pStyle w:val="HTMLPreformatted"/>
        <w:shd w:val="clear" w:color="auto" w:fill="FFFFFF"/>
        <w:wordWrap w:val="0"/>
        <w:textAlignment w:val="baseline"/>
        <w:rPr>
          <w:color w:val="000000"/>
          <w:sz w:val="21"/>
          <w:szCs w:val="21"/>
        </w:rPr>
      </w:pPr>
      <w:r>
        <w:rPr>
          <w:color w:val="000000"/>
          <w:sz w:val="21"/>
          <w:szCs w:val="21"/>
        </w:rPr>
        <w:t>The Mean Squared Error of our forecasts is 1.51</w:t>
      </w:r>
    </w:p>
    <w:p w:rsidR="00117302" w:rsidRDefault="00117302" w:rsidP="00981BE6">
      <w:pPr>
        <w:widowControl/>
        <w:rPr>
          <w:color w:val="0C1F26"/>
          <w:sz w:val="16"/>
          <w:szCs w:val="16"/>
        </w:rPr>
      </w:pPr>
    </w:p>
    <w:p w:rsidR="00117302" w:rsidRDefault="00117302" w:rsidP="00981BE6">
      <w:pPr>
        <w:widowControl/>
        <w:rPr>
          <w:color w:val="0C1F26"/>
          <w:sz w:val="16"/>
          <w:szCs w:val="16"/>
        </w:rPr>
      </w:pPr>
      <w:r w:rsidRPr="00C86F02">
        <w:rPr>
          <w:rFonts w:ascii="Courier New" w:eastAsia="Times New Roman" w:hAnsi="Courier New" w:cs="Courier New"/>
          <w:noProof/>
          <w:color w:val="000000"/>
          <w:sz w:val="21"/>
          <w:szCs w:val="21"/>
        </w:rPr>
        <w:drawing>
          <wp:inline distT="0" distB="0" distL="0" distR="0" wp14:anchorId="3DF1CD56" wp14:editId="005F2933">
            <wp:extent cx="3064510" cy="2064977"/>
            <wp:effectExtent l="0" t="0" r="2540" b="0"/>
            <wp:docPr id="10" name="Picture 10" descr="/var/folders/61/002vjpdj3n35p7d_s4lztqx80000gn/T/com.microsoft.Word/Content.MSO/5D886F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61/002vjpdj3n35p7d_s4lztqx80000gn/T/com.microsoft.Word/Content.MSO/5D886FA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4510" cy="2064977"/>
                    </a:xfrm>
                    <a:prstGeom prst="rect">
                      <a:avLst/>
                    </a:prstGeom>
                    <a:noFill/>
                    <a:ln>
                      <a:noFill/>
                    </a:ln>
                  </pic:spPr>
                </pic:pic>
              </a:graphicData>
            </a:graphic>
          </wp:inline>
        </w:drawing>
      </w:r>
    </w:p>
    <w:p w:rsidR="00117302" w:rsidRDefault="00117302" w:rsidP="00981BE6">
      <w:pPr>
        <w:widowControl/>
        <w:rPr>
          <w:color w:val="0C1F26"/>
          <w:sz w:val="16"/>
          <w:szCs w:val="16"/>
        </w:rPr>
      </w:pPr>
    </w:p>
    <w:p w:rsidR="00117302" w:rsidRDefault="00117302" w:rsidP="00117302">
      <w:pPr>
        <w:jc w:val="center"/>
      </w:pPr>
      <w:r>
        <w:t>Gambar 7 : Dynamic forecast</w:t>
      </w:r>
    </w:p>
    <w:p w:rsidR="00117302" w:rsidRDefault="00117302" w:rsidP="00117302"/>
    <w:p w:rsidR="00117302" w:rsidRDefault="00117302" w:rsidP="00117302">
      <w:pPr>
        <w:pStyle w:val="HTMLPreformatted"/>
        <w:shd w:val="clear" w:color="auto" w:fill="FFFFFF"/>
        <w:wordWrap w:val="0"/>
        <w:textAlignment w:val="baseline"/>
        <w:rPr>
          <w:color w:val="000000"/>
          <w:sz w:val="21"/>
          <w:szCs w:val="21"/>
        </w:rPr>
      </w:pPr>
      <w:r>
        <w:rPr>
          <w:color w:val="000000"/>
          <w:sz w:val="21"/>
          <w:szCs w:val="21"/>
        </w:rPr>
        <w:t>The Mean Squared Error of our forecasts is 1.44</w:t>
      </w:r>
    </w:p>
    <w:p w:rsidR="00117302" w:rsidRDefault="00117302" w:rsidP="00981BE6">
      <w:pPr>
        <w:widowControl/>
        <w:rPr>
          <w:color w:val="0C1F26"/>
          <w:sz w:val="16"/>
          <w:szCs w:val="16"/>
        </w:rPr>
      </w:pPr>
    </w:p>
    <w:p w:rsidR="00117302" w:rsidRDefault="00117302" w:rsidP="00981BE6">
      <w:pPr>
        <w:widowControl/>
        <w:rPr>
          <w:color w:val="0C1F26"/>
          <w:sz w:val="16"/>
          <w:szCs w:val="16"/>
        </w:rPr>
      </w:pPr>
    </w:p>
    <w:p w:rsidR="00117302" w:rsidRDefault="00117302" w:rsidP="00981BE6">
      <w:pPr>
        <w:widowControl/>
        <w:rPr>
          <w:color w:val="0C1F26"/>
          <w:sz w:val="16"/>
          <w:szCs w:val="16"/>
        </w:rPr>
      </w:pPr>
      <w:r w:rsidRPr="00C86F02">
        <w:rPr>
          <w:noProof/>
        </w:rPr>
        <w:drawing>
          <wp:inline distT="0" distB="0" distL="0" distR="0" wp14:anchorId="5FCC7859" wp14:editId="4231E398">
            <wp:extent cx="3064510" cy="2015034"/>
            <wp:effectExtent l="0" t="0" r="2540" b="4445"/>
            <wp:docPr id="11" name="Picture 11" descr="/var/folders/61/002vjpdj3n35p7d_s4lztqx80000gn/T/com.microsoft.Word/Content.MSO/A980F3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61/002vjpdj3n35p7d_s4lztqx80000gn/T/com.microsoft.Word/Content.MSO/A980F357.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4510" cy="2015034"/>
                    </a:xfrm>
                    <a:prstGeom prst="rect">
                      <a:avLst/>
                    </a:prstGeom>
                    <a:noFill/>
                    <a:ln>
                      <a:noFill/>
                    </a:ln>
                  </pic:spPr>
                </pic:pic>
              </a:graphicData>
            </a:graphic>
          </wp:inline>
        </w:drawing>
      </w:r>
    </w:p>
    <w:p w:rsidR="00117302" w:rsidRDefault="00E667F5" w:rsidP="00E667F5">
      <w:pPr>
        <w:jc w:val="center"/>
      </w:pPr>
      <w:r>
        <w:t xml:space="preserve">Gambar 8 : </w:t>
      </w:r>
      <w:r w:rsidR="00117302">
        <w:t>Forecast TB(+) untuk beberapa tahun ke depan</w:t>
      </w:r>
    </w:p>
    <w:p w:rsidR="00117302" w:rsidRDefault="00117302" w:rsidP="00981BE6">
      <w:pPr>
        <w:widowControl/>
        <w:rPr>
          <w:color w:val="0C1F26"/>
          <w:sz w:val="16"/>
          <w:szCs w:val="16"/>
        </w:rPr>
      </w:pPr>
    </w:p>
    <w:p w:rsidR="00117302" w:rsidRDefault="00117302" w:rsidP="00981BE6">
      <w:pPr>
        <w:widowControl/>
        <w:rPr>
          <w:color w:val="0C1F26"/>
          <w:sz w:val="16"/>
          <w:szCs w:val="16"/>
        </w:rPr>
      </w:pPr>
    </w:p>
    <w:p w:rsidR="00E667F5" w:rsidRDefault="00E667F5" w:rsidP="00981BE6">
      <w:pPr>
        <w:widowControl/>
        <w:rPr>
          <w:color w:val="0C1F26"/>
          <w:sz w:val="16"/>
          <w:szCs w:val="16"/>
        </w:rPr>
      </w:pPr>
      <w:r>
        <w:t>Tabel 2 : Hasil prediksi penyakit TB (+) hingga tahun 2022</w:t>
      </w:r>
    </w:p>
    <w:tbl>
      <w:tblPr>
        <w:tblW w:w="0" w:type="auto"/>
        <w:jc w:val="center"/>
        <w:tblLayout w:type="fixed"/>
        <w:tblLook w:val="04A0" w:firstRow="1" w:lastRow="0" w:firstColumn="1" w:lastColumn="0" w:noHBand="0" w:noVBand="1"/>
      </w:tblPr>
      <w:tblGrid>
        <w:gridCol w:w="1128"/>
        <w:gridCol w:w="1027"/>
        <w:gridCol w:w="1170"/>
        <w:gridCol w:w="990"/>
      </w:tblGrid>
      <w:tr w:rsidR="00E667F5" w:rsidRPr="00C86F02" w:rsidTr="00E667F5">
        <w:trPr>
          <w:cantSplit/>
          <w:trHeight w:val="144"/>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center"/>
              <w:rPr>
                <w:rFonts w:eastAsia="Times New Roman"/>
                <w:color w:val="000000"/>
                <w:lang w:eastAsia="en-GB"/>
              </w:rPr>
            </w:pPr>
            <w:r w:rsidRPr="005D62E0">
              <w:rPr>
                <w:rFonts w:eastAsia="Times New Roman"/>
                <w:color w:val="000000"/>
                <w:lang w:eastAsia="en-GB"/>
              </w:rPr>
              <w:t>Tanggal</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E667F5" w:rsidRPr="005D62E0" w:rsidRDefault="00E667F5" w:rsidP="0061431B">
            <w:pPr>
              <w:jc w:val="center"/>
              <w:rPr>
                <w:rFonts w:eastAsia="Times New Roman"/>
                <w:color w:val="000000"/>
                <w:lang w:eastAsia="en-GB"/>
              </w:rPr>
            </w:pPr>
            <w:r w:rsidRPr="005D62E0">
              <w:rPr>
                <w:rFonts w:eastAsia="Times New Roman"/>
                <w:color w:val="000000"/>
                <w:lang w:eastAsia="en-GB"/>
              </w:rPr>
              <w:t>Prediksi (rata2)</w:t>
            </w:r>
          </w:p>
        </w:tc>
        <w:tc>
          <w:tcPr>
            <w:tcW w:w="1170" w:type="dxa"/>
            <w:tcBorders>
              <w:top w:val="single" w:sz="4" w:space="0" w:color="auto"/>
              <w:left w:val="nil"/>
              <w:bottom w:val="single" w:sz="4" w:space="0" w:color="auto"/>
              <w:right w:val="single" w:sz="4" w:space="0" w:color="auto"/>
            </w:tcBorders>
            <w:vAlign w:val="bottom"/>
          </w:tcPr>
          <w:p w:rsidR="00E667F5" w:rsidRPr="005D62E0" w:rsidRDefault="00E667F5" w:rsidP="0061431B">
            <w:pPr>
              <w:jc w:val="center"/>
              <w:rPr>
                <w:rFonts w:eastAsia="Times New Roman"/>
                <w:color w:val="000000"/>
                <w:lang w:eastAsia="en-GB"/>
              </w:rPr>
            </w:pPr>
            <w:r w:rsidRPr="005D62E0">
              <w:rPr>
                <w:rFonts w:eastAsia="Times New Roman"/>
                <w:color w:val="000000"/>
                <w:lang w:eastAsia="en-GB"/>
              </w:rPr>
              <w:t>Tanggal</w:t>
            </w:r>
          </w:p>
        </w:tc>
        <w:tc>
          <w:tcPr>
            <w:tcW w:w="990" w:type="dxa"/>
            <w:tcBorders>
              <w:top w:val="single" w:sz="4" w:space="0" w:color="auto"/>
              <w:left w:val="nil"/>
              <w:bottom w:val="single" w:sz="4" w:space="0" w:color="auto"/>
              <w:right w:val="single" w:sz="4" w:space="0" w:color="auto"/>
            </w:tcBorders>
            <w:vAlign w:val="bottom"/>
          </w:tcPr>
          <w:p w:rsidR="00E667F5" w:rsidRPr="005D62E0" w:rsidRDefault="00E667F5" w:rsidP="0061431B">
            <w:pPr>
              <w:jc w:val="center"/>
              <w:rPr>
                <w:rFonts w:eastAsia="Times New Roman"/>
                <w:color w:val="000000"/>
                <w:lang w:eastAsia="en-GB"/>
              </w:rPr>
            </w:pPr>
            <w:r w:rsidRPr="005D62E0">
              <w:rPr>
                <w:rFonts w:eastAsia="Times New Roman"/>
                <w:color w:val="000000"/>
                <w:lang w:eastAsia="en-GB"/>
              </w:rPr>
              <w:t>Prediksi (rata2)</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01/01/2018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3.748706</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01/02/2020</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3.844061</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01/02/2018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2.565193</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01/03/2020</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5.086811</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01/03/2018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3.876617</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01/04/2020</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4.285079</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01/04/2018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2.962747</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01/05/2020</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5.206457</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01/05/2018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4.002225</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01/06/2020</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4.602238</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01/06/2018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3.305068</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01/07/2020</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5.008648</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01/07/2018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3.838346</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01/08/2020</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3.888259</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01/08/2018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2.711982</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01/09/2020</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4.560552</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01/09/2018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3.340983</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01/10/2020</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4.271238</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01/10/2018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3.055191</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01/11/2020</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5.910801</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01/11/2018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4.575247</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01/12/2020</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4.504095</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01/12/2018</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3.266758</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01/01/2021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5.486335</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01/01/2019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4.152521</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01/02/2021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4.485857</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01/02/2019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3.210946</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01/03/2021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5.718347</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01/03/2019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4.412886</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01/04/2021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4.93096</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01/04/2019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3.666063</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01/05/2021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5.837791</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01/05/2019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4.532347</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01/06/2021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5.245097</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01/06/2019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3.971859</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01/07/2021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5.636679</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lastRenderedPageBreak/>
              <w:t>01/07/2019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4.322973</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01/08/2021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4.51806</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01/08/2019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3.210412</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01/09/2021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5.194005</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01/09/2019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3.894713</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01/10/2021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4.905091</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01/10/2019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3.607819</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01/11/2021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6.556686</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01/11/2019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5.290032</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01/12/2021</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5.140093</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01/12/2019</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3.848283</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01/01/2022</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6.132128</w:t>
            </w:r>
          </w:p>
        </w:tc>
      </w:tr>
      <w:tr w:rsidR="00E667F5" w:rsidRPr="00C86F02" w:rsidTr="00E667F5">
        <w:trPr>
          <w:cantSplit/>
          <w:trHeight w:val="144"/>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01/01/2020</w:t>
            </w:r>
          </w:p>
        </w:tc>
        <w:tc>
          <w:tcPr>
            <w:tcW w:w="1027" w:type="dxa"/>
            <w:tcBorders>
              <w:top w:val="nil"/>
              <w:left w:val="nil"/>
              <w:bottom w:val="single" w:sz="4" w:space="0" w:color="auto"/>
              <w:right w:val="single" w:sz="4" w:space="0" w:color="auto"/>
            </w:tcBorders>
            <w:shd w:val="clear" w:color="auto" w:fill="auto"/>
            <w:noWrap/>
            <w:vAlign w:val="bottom"/>
            <w:hideMark/>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4.865349</w:t>
            </w:r>
          </w:p>
        </w:tc>
        <w:tc>
          <w:tcPr>
            <w:tcW w:w="117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01/02/2022</w:t>
            </w:r>
          </w:p>
        </w:tc>
        <w:tc>
          <w:tcPr>
            <w:tcW w:w="990" w:type="dxa"/>
            <w:tcBorders>
              <w:top w:val="nil"/>
              <w:left w:val="nil"/>
              <w:bottom w:val="single" w:sz="4" w:space="0" w:color="auto"/>
              <w:right w:val="single" w:sz="4" w:space="0" w:color="auto"/>
            </w:tcBorders>
            <w:vAlign w:val="bottom"/>
          </w:tcPr>
          <w:p w:rsidR="00E667F5" w:rsidRPr="005D62E0" w:rsidRDefault="00E667F5" w:rsidP="0061431B">
            <w:pPr>
              <w:jc w:val="right"/>
              <w:rPr>
                <w:rFonts w:eastAsia="Times New Roman"/>
                <w:color w:val="000000"/>
                <w:lang w:eastAsia="en-GB"/>
              </w:rPr>
            </w:pPr>
            <w:r w:rsidRPr="005D62E0">
              <w:rPr>
                <w:rFonts w:eastAsia="Times New Roman"/>
                <w:color w:val="000000"/>
                <w:lang w:eastAsia="en-GB"/>
              </w:rPr>
              <w:t>5.125762</w:t>
            </w:r>
          </w:p>
        </w:tc>
      </w:tr>
    </w:tbl>
    <w:p w:rsidR="00117302" w:rsidRDefault="00117302" w:rsidP="00981BE6">
      <w:pPr>
        <w:widowControl/>
        <w:rPr>
          <w:color w:val="0C1F26"/>
          <w:sz w:val="16"/>
          <w:szCs w:val="16"/>
        </w:rPr>
      </w:pPr>
    </w:p>
    <w:p w:rsidR="00117302" w:rsidRDefault="00117302" w:rsidP="00981BE6">
      <w:pPr>
        <w:widowControl/>
        <w:rPr>
          <w:color w:val="0C1F26"/>
          <w:sz w:val="16"/>
          <w:szCs w:val="16"/>
        </w:rPr>
      </w:pPr>
    </w:p>
    <w:p w:rsidR="00DA4D02" w:rsidRDefault="00DA4D02" w:rsidP="00981BE6">
      <w:pPr>
        <w:widowControl/>
        <w:rPr>
          <w:color w:val="0C1F26"/>
          <w:sz w:val="16"/>
          <w:szCs w:val="16"/>
        </w:rPr>
      </w:pPr>
    </w:p>
    <w:p w:rsidR="00981BE6" w:rsidRPr="00981BE6" w:rsidRDefault="00981BE6" w:rsidP="00895D19">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Conclusion</w:t>
      </w:r>
    </w:p>
    <w:p w:rsidR="00981BE6" w:rsidRDefault="00981BE6" w:rsidP="00981BE6">
      <w:pPr>
        <w:widowControl/>
        <w:rPr>
          <w:color w:val="0C1F26"/>
          <w:sz w:val="16"/>
          <w:szCs w:val="16"/>
        </w:rPr>
      </w:pPr>
    </w:p>
    <w:p w:rsidR="00DA4D02" w:rsidRDefault="00DA4D02" w:rsidP="00981BE6">
      <w:pPr>
        <w:widowControl/>
        <w:rPr>
          <w:color w:val="0C1F26"/>
          <w:sz w:val="16"/>
          <w:szCs w:val="16"/>
        </w:rPr>
      </w:pPr>
    </w:p>
    <w:p w:rsidR="00DA4D02" w:rsidRDefault="00DA4D02" w:rsidP="00981BE6">
      <w:pPr>
        <w:widowControl/>
        <w:rPr>
          <w:color w:val="0C1F26"/>
          <w:sz w:val="16"/>
          <w:szCs w:val="16"/>
        </w:rPr>
      </w:pPr>
    </w:p>
    <w:p w:rsidR="00981BE6" w:rsidRDefault="00981BE6" w:rsidP="00981BE6">
      <w:pPr>
        <w:widowControl/>
        <w:rPr>
          <w:color w:val="0C1F26"/>
          <w:sz w:val="16"/>
          <w:szCs w:val="16"/>
        </w:rPr>
      </w:pPr>
    </w:p>
    <w:p w:rsidR="00981BE6" w:rsidRPr="00981BE6" w:rsidRDefault="00981BE6" w:rsidP="00895D19">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Acknowledgments</w:t>
      </w:r>
    </w:p>
    <w:p w:rsidR="00981BE6" w:rsidRDefault="00981BE6" w:rsidP="00981BE6">
      <w:pPr>
        <w:widowControl/>
        <w:rPr>
          <w:color w:val="0C1F26"/>
          <w:sz w:val="16"/>
          <w:szCs w:val="16"/>
        </w:rPr>
      </w:pPr>
    </w:p>
    <w:p w:rsidR="00DA4D02" w:rsidRDefault="00DA4D02" w:rsidP="00981BE6">
      <w:pPr>
        <w:widowControl/>
        <w:rPr>
          <w:color w:val="0C1F26"/>
          <w:sz w:val="16"/>
          <w:szCs w:val="16"/>
        </w:rPr>
      </w:pPr>
    </w:p>
    <w:p w:rsidR="00DA4D02" w:rsidRDefault="00DA4D02" w:rsidP="00981BE6">
      <w:pPr>
        <w:widowControl/>
        <w:rPr>
          <w:color w:val="0C1F26"/>
          <w:sz w:val="16"/>
          <w:szCs w:val="16"/>
        </w:rPr>
      </w:pPr>
    </w:p>
    <w:p w:rsidR="00DA4D02" w:rsidRDefault="00DA4D02" w:rsidP="00981BE6">
      <w:pPr>
        <w:widowControl/>
        <w:rPr>
          <w:color w:val="0C1F26"/>
          <w:sz w:val="16"/>
          <w:szCs w:val="16"/>
        </w:rPr>
      </w:pPr>
    </w:p>
    <w:p w:rsidR="00981BE6" w:rsidRDefault="00981BE6" w:rsidP="00981BE6">
      <w:pPr>
        <w:widowControl/>
        <w:rPr>
          <w:color w:val="0C1F26"/>
          <w:sz w:val="16"/>
          <w:szCs w:val="16"/>
        </w:rPr>
      </w:pPr>
    </w:p>
    <w:p w:rsidR="00981BE6" w:rsidRPr="00981BE6" w:rsidRDefault="00981BE6" w:rsidP="00895D19">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References</w:t>
      </w:r>
    </w:p>
    <w:p w:rsidR="00981BE6" w:rsidRDefault="00981BE6" w:rsidP="00981BE6">
      <w:pPr>
        <w:widowControl/>
        <w:rPr>
          <w:color w:val="0C1F26"/>
          <w:sz w:val="16"/>
          <w:szCs w:val="16"/>
        </w:rPr>
      </w:pPr>
    </w:p>
    <w:p w:rsidR="00BF416C" w:rsidRPr="00BF416C" w:rsidRDefault="00D23F62" w:rsidP="00BF416C">
      <w:pPr>
        <w:ind w:left="640" w:hanging="640"/>
        <w:rPr>
          <w:noProof/>
          <w:sz w:val="16"/>
          <w:szCs w:val="24"/>
        </w:rPr>
      </w:pPr>
      <w:r>
        <w:rPr>
          <w:color w:val="0C1F26"/>
          <w:sz w:val="16"/>
          <w:szCs w:val="16"/>
        </w:rPr>
        <w:fldChar w:fldCharType="begin" w:fldLock="1"/>
      </w:r>
      <w:r>
        <w:rPr>
          <w:color w:val="0C1F26"/>
          <w:sz w:val="16"/>
          <w:szCs w:val="16"/>
        </w:rPr>
        <w:instrText xml:space="preserve">ADDIN Mendeley Bibliography CSL_BIBLIOGRAPHY </w:instrText>
      </w:r>
      <w:r>
        <w:rPr>
          <w:color w:val="0C1F26"/>
          <w:sz w:val="16"/>
          <w:szCs w:val="16"/>
        </w:rPr>
        <w:fldChar w:fldCharType="separate"/>
      </w:r>
      <w:r w:rsidR="00BF416C" w:rsidRPr="00BF416C">
        <w:rPr>
          <w:noProof/>
          <w:sz w:val="16"/>
          <w:szCs w:val="24"/>
        </w:rPr>
        <w:t>[1]</w:t>
      </w:r>
      <w:r w:rsidR="00BF416C" w:rsidRPr="00BF416C">
        <w:rPr>
          <w:noProof/>
          <w:sz w:val="16"/>
          <w:szCs w:val="24"/>
        </w:rPr>
        <w:tab/>
        <w:t>J. Barat, M. Rahmaniati, D. Biostatistik, and F. K. Masyarakat, “Pola Penyebaran Kasus Tuberkulosis Dengan Pendekatan Spasial-Statistik (Studi kasus di Kota Depok, Jawa Barat),” pp. 1–15, 2012.</w:t>
      </w:r>
    </w:p>
    <w:p w:rsidR="00BF416C" w:rsidRPr="00BF416C" w:rsidRDefault="00BF416C" w:rsidP="00BF416C">
      <w:pPr>
        <w:ind w:left="640" w:hanging="640"/>
        <w:rPr>
          <w:noProof/>
          <w:sz w:val="16"/>
          <w:szCs w:val="24"/>
        </w:rPr>
      </w:pPr>
      <w:r w:rsidRPr="00BF416C">
        <w:rPr>
          <w:noProof/>
          <w:sz w:val="16"/>
          <w:szCs w:val="24"/>
        </w:rPr>
        <w:t>[2]</w:t>
      </w:r>
      <w:r w:rsidRPr="00BF416C">
        <w:rPr>
          <w:noProof/>
          <w:sz w:val="16"/>
          <w:szCs w:val="24"/>
        </w:rPr>
        <w:tab/>
        <w:t xml:space="preserve">A. Zumla, A. George, V. Sharma, R. H. N. Herbert, A. Oxley, and M. Oliver, “The WHO 2014 Global tuberculosis report-further to go,” </w:t>
      </w:r>
      <w:r w:rsidRPr="00BF416C">
        <w:rPr>
          <w:i/>
          <w:iCs/>
          <w:noProof/>
          <w:sz w:val="16"/>
          <w:szCs w:val="24"/>
        </w:rPr>
        <w:t>The Lancet Global Health</w:t>
      </w:r>
      <w:r w:rsidRPr="00BF416C">
        <w:rPr>
          <w:noProof/>
          <w:sz w:val="16"/>
          <w:szCs w:val="24"/>
        </w:rPr>
        <w:t>, vol. 3, no. 1. Elsevier Ltd, pp. e10–e12, 01-Jan-2015.</w:t>
      </w:r>
    </w:p>
    <w:p w:rsidR="00BF416C" w:rsidRPr="00BF416C" w:rsidRDefault="00BF416C" w:rsidP="00BF416C">
      <w:pPr>
        <w:ind w:left="640" w:hanging="640"/>
        <w:rPr>
          <w:noProof/>
          <w:sz w:val="16"/>
          <w:szCs w:val="24"/>
        </w:rPr>
      </w:pPr>
      <w:r w:rsidRPr="00BF416C">
        <w:rPr>
          <w:noProof/>
          <w:sz w:val="16"/>
          <w:szCs w:val="24"/>
        </w:rPr>
        <w:t>[3]</w:t>
      </w:r>
      <w:r w:rsidRPr="00BF416C">
        <w:rPr>
          <w:noProof/>
          <w:sz w:val="16"/>
          <w:szCs w:val="24"/>
        </w:rPr>
        <w:tab/>
        <w:t xml:space="preserve">H. Getahun </w:t>
      </w:r>
      <w:r w:rsidRPr="00BF416C">
        <w:rPr>
          <w:i/>
          <w:iCs/>
          <w:noProof/>
          <w:sz w:val="16"/>
          <w:szCs w:val="24"/>
        </w:rPr>
        <w:t>et al.</w:t>
      </w:r>
      <w:r w:rsidRPr="00BF416C">
        <w:rPr>
          <w:noProof/>
          <w:sz w:val="16"/>
          <w:szCs w:val="24"/>
        </w:rPr>
        <w:t xml:space="preserve">, “Management of latent Mycobacterium tuberculosis infection: WHO guidelines for low tuberculosis burden countries,” </w:t>
      </w:r>
      <w:r w:rsidRPr="00BF416C">
        <w:rPr>
          <w:i/>
          <w:iCs/>
          <w:noProof/>
          <w:sz w:val="16"/>
          <w:szCs w:val="24"/>
        </w:rPr>
        <w:t>European Respiratory Journal</w:t>
      </w:r>
      <w:r w:rsidRPr="00BF416C">
        <w:rPr>
          <w:noProof/>
          <w:sz w:val="16"/>
          <w:szCs w:val="24"/>
        </w:rPr>
        <w:t>, vol. 46, no. 6. European Respiratory Society, pp. 1563–1576, 01-Dec-2015.</w:t>
      </w:r>
    </w:p>
    <w:p w:rsidR="00BF416C" w:rsidRPr="00BF416C" w:rsidRDefault="00BF416C" w:rsidP="00BF416C">
      <w:pPr>
        <w:ind w:left="640" w:hanging="640"/>
        <w:rPr>
          <w:noProof/>
          <w:sz w:val="16"/>
          <w:szCs w:val="24"/>
        </w:rPr>
      </w:pPr>
      <w:r w:rsidRPr="00BF416C">
        <w:rPr>
          <w:noProof/>
          <w:sz w:val="16"/>
          <w:szCs w:val="24"/>
        </w:rPr>
        <w:t>[4]</w:t>
      </w:r>
      <w:r w:rsidRPr="00BF416C">
        <w:rPr>
          <w:noProof/>
          <w:sz w:val="16"/>
          <w:szCs w:val="24"/>
        </w:rPr>
        <w:tab/>
        <w:t xml:space="preserve">K. W. Wang, C. Deng, J. P. Li, Y. Y. Zhang, X. Y. Li, and M. C. Wu, “Hybrid methodology for tuberculosis incidence time-series forecasting based on ARIMA and a NAR neural network,” </w:t>
      </w:r>
      <w:r w:rsidRPr="00BF416C">
        <w:rPr>
          <w:i/>
          <w:iCs/>
          <w:noProof/>
          <w:sz w:val="16"/>
          <w:szCs w:val="24"/>
        </w:rPr>
        <w:t>Epidemiol. Infect.</w:t>
      </w:r>
      <w:r w:rsidRPr="00BF416C">
        <w:rPr>
          <w:noProof/>
          <w:sz w:val="16"/>
          <w:szCs w:val="24"/>
        </w:rPr>
        <w:t>, vol. 145, no. 6, pp. 1118–1129, Apr. 2017.</w:t>
      </w:r>
    </w:p>
    <w:p w:rsidR="00BF416C" w:rsidRPr="00BF416C" w:rsidRDefault="00BF416C" w:rsidP="00BF416C">
      <w:pPr>
        <w:ind w:left="640" w:hanging="640"/>
        <w:rPr>
          <w:noProof/>
          <w:sz w:val="16"/>
          <w:szCs w:val="24"/>
        </w:rPr>
      </w:pPr>
      <w:r w:rsidRPr="00BF416C">
        <w:rPr>
          <w:noProof/>
          <w:sz w:val="16"/>
          <w:szCs w:val="24"/>
        </w:rPr>
        <w:t>[5]</w:t>
      </w:r>
      <w:r w:rsidRPr="00BF416C">
        <w:rPr>
          <w:noProof/>
          <w:sz w:val="16"/>
          <w:szCs w:val="24"/>
        </w:rPr>
        <w:tab/>
        <w:t xml:space="preserve">X. Zhang, T. Zhang, A. A. Young, and X. Li, “Applications and comparisons of four time series models in epidemiological surveillance data,” </w:t>
      </w:r>
      <w:r w:rsidRPr="00BF416C">
        <w:rPr>
          <w:i/>
          <w:iCs/>
          <w:noProof/>
          <w:sz w:val="16"/>
          <w:szCs w:val="24"/>
        </w:rPr>
        <w:t>PLoS One</w:t>
      </w:r>
      <w:r w:rsidRPr="00BF416C">
        <w:rPr>
          <w:noProof/>
          <w:sz w:val="16"/>
          <w:szCs w:val="24"/>
        </w:rPr>
        <w:t>, vol. 9, no. 2, Feb. 2014.</w:t>
      </w:r>
    </w:p>
    <w:p w:rsidR="00BF416C" w:rsidRPr="00BF416C" w:rsidRDefault="00BF416C" w:rsidP="00BF416C">
      <w:pPr>
        <w:ind w:left="640" w:hanging="640"/>
        <w:rPr>
          <w:noProof/>
          <w:sz w:val="16"/>
        </w:rPr>
      </w:pPr>
      <w:r w:rsidRPr="00BF416C">
        <w:rPr>
          <w:noProof/>
          <w:sz w:val="16"/>
          <w:szCs w:val="24"/>
        </w:rPr>
        <w:t>[6]</w:t>
      </w:r>
      <w:r w:rsidRPr="00BF416C">
        <w:rPr>
          <w:noProof/>
          <w:sz w:val="16"/>
          <w:szCs w:val="24"/>
        </w:rPr>
        <w:tab/>
        <w:t>D. Wiyanti and R. Pulungan, “Peramalan Deret Waktu Menggunakan Model Fungsi Basis Radial (RBF) dan Auto Regressive Integrated Moving Average (ARIMA) File Sharing System Using Samba For Mathematics Laborator View project thinning of various local character View project,” 2012.</w:t>
      </w:r>
    </w:p>
    <w:p w:rsidR="00981BE6" w:rsidRPr="005027FA" w:rsidRDefault="00D23F62" w:rsidP="00981BE6">
      <w:pPr>
        <w:widowControl/>
        <w:rPr>
          <w:color w:val="0C1F26"/>
          <w:sz w:val="16"/>
          <w:szCs w:val="16"/>
        </w:rPr>
        <w:sectPr w:rsidR="00981BE6" w:rsidRPr="005027FA" w:rsidSect="00E43B20">
          <w:type w:val="continuous"/>
          <w:pgSz w:w="11909" w:h="15874"/>
          <w:pgMar w:top="810" w:right="1123" w:bottom="1170" w:left="749" w:header="720" w:footer="720" w:gutter="0"/>
          <w:cols w:num="2" w:space="385"/>
          <w:noEndnote/>
        </w:sectPr>
      </w:pPr>
      <w:r>
        <w:rPr>
          <w:color w:val="0C1F26"/>
          <w:sz w:val="16"/>
          <w:szCs w:val="16"/>
        </w:rPr>
        <w:fldChar w:fldCharType="end"/>
      </w:r>
    </w:p>
    <w:p w:rsidR="0003781A" w:rsidRDefault="005044C2" w:rsidP="005027FA"/>
    <w:sectPr w:rsidR="0003781A" w:rsidSect="00981BE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E6"/>
    <w:rsid w:val="00117302"/>
    <w:rsid w:val="0013394C"/>
    <w:rsid w:val="001512BC"/>
    <w:rsid w:val="00176F3A"/>
    <w:rsid w:val="00280EC0"/>
    <w:rsid w:val="002B1813"/>
    <w:rsid w:val="00394F36"/>
    <w:rsid w:val="004958DA"/>
    <w:rsid w:val="005027FA"/>
    <w:rsid w:val="005044C2"/>
    <w:rsid w:val="00600AA5"/>
    <w:rsid w:val="007476E1"/>
    <w:rsid w:val="007573F1"/>
    <w:rsid w:val="008228A4"/>
    <w:rsid w:val="00872537"/>
    <w:rsid w:val="00895D19"/>
    <w:rsid w:val="00911FCD"/>
    <w:rsid w:val="0091685D"/>
    <w:rsid w:val="00981BE6"/>
    <w:rsid w:val="009B7AF1"/>
    <w:rsid w:val="00A35787"/>
    <w:rsid w:val="00A57943"/>
    <w:rsid w:val="00A73EAF"/>
    <w:rsid w:val="00A77BEF"/>
    <w:rsid w:val="00B52801"/>
    <w:rsid w:val="00BF416C"/>
    <w:rsid w:val="00BF5BC2"/>
    <w:rsid w:val="00C60352"/>
    <w:rsid w:val="00C922BF"/>
    <w:rsid w:val="00D23F62"/>
    <w:rsid w:val="00D26086"/>
    <w:rsid w:val="00DA4D02"/>
    <w:rsid w:val="00E43B20"/>
    <w:rsid w:val="00E667F5"/>
    <w:rsid w:val="00EA613A"/>
    <w:rsid w:val="00F67EFA"/>
    <w:rsid w:val="00FA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67FEA-045F-4271-9BCF-B62AE868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981BE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1173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n-GB" w:eastAsia="en-GB"/>
    </w:rPr>
  </w:style>
  <w:style w:type="character" w:customStyle="1" w:styleId="HTMLPreformattedChar">
    <w:name w:val="HTML Preformatted Char"/>
    <w:basedOn w:val="DefaultParagraphFont"/>
    <w:link w:val="HTMLPreformatted"/>
    <w:uiPriority w:val="99"/>
    <w:semiHidden/>
    <w:rsid w:val="00117302"/>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hyperlink" Target="mailto:amin.edalatmanesh@gmail.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8F75F-680D-47F7-B5E6-9CD7E653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mresha</dc:creator>
  <cp:keywords/>
  <dc:description/>
  <cp:lastModifiedBy>mresha</cp:lastModifiedBy>
  <cp:revision>12</cp:revision>
  <dcterms:created xsi:type="dcterms:W3CDTF">2019-12-22T10:00:00Z</dcterms:created>
  <dcterms:modified xsi:type="dcterms:W3CDTF">2019-12-27T01:33:00Z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736556c2-b792-3dd4-af84-e775ca2301f1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